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sz w:val="25"/>
          <w:szCs w:val="25"/>
        </w:rPr>
      </w:pPr>
      <w:r>
        <w:rPr>
          <w:b/>
          <w:sz w:val="25"/>
          <w:szCs w:val="25"/>
        </w:rPr>
        <w:t xml:space="preserve">ДОГОВОР № </w:t>
      </w:r>
    </w:p>
    <w:p>
      <w:pPr>
        <w:pStyle w:val="Normal"/>
        <w:jc w:val="center"/>
        <w:rPr>
          <w:sz w:val="25"/>
          <w:szCs w:val="25"/>
        </w:rPr>
      </w:pPr>
      <w:r>
        <w:rPr>
          <w:b/>
          <w:sz w:val="25"/>
          <w:szCs w:val="25"/>
        </w:rPr>
        <w:t>на оказание охранных услуг с помощью пульта централизованного наблюдения</w:t>
      </w:r>
    </w:p>
    <w:p>
      <w:pPr>
        <w:pStyle w:val="Normal"/>
        <w:tabs>
          <w:tab w:val="clear" w:pos="708"/>
          <w:tab w:val="left" w:pos="-2552" w:leader="underscore"/>
          <w:tab w:val="left" w:pos="-2410" w:leader="underscore"/>
          <w:tab w:val="left" w:pos="382" w:leader="underscore"/>
          <w:tab w:val="left" w:pos="6096" w:leader="none"/>
        </w:tabs>
        <w:spacing w:before="500" w:after="0"/>
        <w:jc w:val="both"/>
        <w:rPr>
          <w:bCs/>
          <w:sz w:val="25"/>
          <w:szCs w:val="25"/>
        </w:rPr>
      </w:pPr>
      <w:r>
        <w:rPr>
          <w:sz w:val="25"/>
          <w:szCs w:val="25"/>
        </w:rPr>
        <w:t xml:space="preserve">г. Екатеринбург                                                                                    </w:t>
      </w:r>
      <w:r>
        <w:rPr>
          <w:bCs/>
          <w:sz w:val="25"/>
          <w:szCs w:val="25"/>
        </w:rPr>
        <w:t>«____» ____________ г.</w:t>
      </w:r>
    </w:p>
    <w:p>
      <w:pPr>
        <w:pStyle w:val="Normal"/>
        <w:spacing w:before="560" w:after="0"/>
        <w:ind w:firstLine="709"/>
        <w:jc w:val="both"/>
        <w:rPr>
          <w:sz w:val="25"/>
          <w:szCs w:val="25"/>
        </w:rPr>
      </w:pPr>
      <w:r>
        <w:rPr>
          <w:spacing w:val="4"/>
          <w:sz w:val="25"/>
          <w:szCs w:val="25"/>
        </w:rPr>
        <w:t>Федеральное государственное казённое учреждение «Управление вневедомственной охраны войск национальной гвардии Российской Федерации по Свердловской области»,</w:t>
      </w:r>
      <w:r>
        <w:rPr>
          <w:b/>
          <w:spacing w:val="4"/>
          <w:sz w:val="25"/>
          <w:szCs w:val="25"/>
        </w:rPr>
        <w:t xml:space="preserve"> </w:t>
      </w:r>
      <w:r>
        <w:rPr>
          <w:spacing w:val="4"/>
          <w:sz w:val="25"/>
          <w:szCs w:val="25"/>
        </w:rPr>
        <w:t xml:space="preserve">именуемое в дальнейшем «Исполнитель», в лице </w:t>
      </w:r>
      <w:r>
        <w:rPr>
          <w:b w:val="false"/>
          <w:bCs w:val="false"/>
          <w:spacing w:val="4"/>
          <w:sz w:val="25"/>
          <w:szCs w:val="25"/>
        </w:rPr>
        <w:t>_______________</w:t>
      </w:r>
      <w:r>
        <w:rPr>
          <w:b w:val="false"/>
          <w:bCs w:val="false"/>
          <w:sz w:val="25"/>
          <w:szCs w:val="25"/>
        </w:rPr>
        <w:t xml:space="preserve">, </w:t>
      </w:r>
      <w:r>
        <w:rPr>
          <w:sz w:val="25"/>
          <w:szCs w:val="25"/>
        </w:rPr>
        <w:t>действующего на основании __________________________, с одной стороны, и гражданин(ка) ____________________________________________________________________________</w:t>
      </w:r>
      <w:r>
        <w:rPr>
          <w:b/>
          <w:sz w:val="25"/>
          <w:szCs w:val="25"/>
        </w:rPr>
        <w:t xml:space="preserve">, </w:t>
      </w:r>
      <w:r>
        <w:rPr>
          <w:sz w:val="25"/>
          <w:szCs w:val="25"/>
        </w:rPr>
        <w:t>зарегистрированный(ая) по адресу: Свердловская область, г. Екатеринбург, ул. _______________, д. ____, кв. ____, паспорт гражданина РФ: серия _______ № ___________ выдан: __________________________________ «___» _________ _____ г., домашний телефон: _____________, служебный телефон: ______________, мобильный телефон: _____________, именуемый(ая) в дальнейшем «Заказчик», с другой стороны, в дальнейшем при совместном упоминании именуемые «Стороны», заключили настоящий Договор о нижеследующем:</w:t>
      </w:r>
    </w:p>
    <w:p>
      <w:pPr>
        <w:pStyle w:val="Normal"/>
        <w:spacing w:before="560" w:after="0"/>
        <w:jc w:val="center"/>
        <w:rPr>
          <w:sz w:val="25"/>
          <w:szCs w:val="25"/>
        </w:rPr>
      </w:pPr>
      <w:r>
        <w:rPr>
          <w:b/>
          <w:bCs/>
          <w:sz w:val="25"/>
          <w:szCs w:val="25"/>
        </w:rPr>
        <w:t>1. ПРЕДМЕТ ДОГОВОРА</w:t>
      </w:r>
    </w:p>
    <w:p>
      <w:pPr>
        <w:pStyle w:val="Normal"/>
        <w:shd w:val="clear" w:color="auto" w:fill="FFFFFF"/>
        <w:tabs>
          <w:tab w:val="clear" w:pos="708"/>
          <w:tab w:val="left" w:pos="1418" w:leader="none"/>
        </w:tabs>
        <w:ind w:firstLine="709"/>
        <w:jc w:val="both"/>
        <w:rPr>
          <w:sz w:val="25"/>
          <w:szCs w:val="25"/>
        </w:rPr>
      </w:pPr>
      <w:r>
        <w:rPr>
          <w:sz w:val="25"/>
          <w:szCs w:val="25"/>
        </w:rPr>
        <w:t>1.1.</w:t>
        <w:tab/>
        <w:t xml:space="preserve">«Исполнитель» принимает на себя обязательства по оказанию услуг охраны места проживания и хранения имущества (квартира, индивидуальный дом, коттедж, таунхаус, дачный дом, хозяйственная постройка, гараж, ГСК, индивидуальный бокс в ГСК), расположенного по адресу: </w:t>
      </w:r>
      <w:r>
        <w:rPr>
          <w:b w:val="false"/>
          <w:bCs w:val="false"/>
          <w:sz w:val="25"/>
          <w:szCs w:val="25"/>
        </w:rPr>
        <w:t>__________________________</w:t>
      </w:r>
      <w:r>
        <w:rPr>
          <w:b/>
          <w:sz w:val="25"/>
          <w:szCs w:val="25"/>
        </w:rPr>
        <w:t xml:space="preserve"> </w:t>
      </w:r>
      <w:r>
        <w:rPr>
          <w:sz w:val="25"/>
          <w:szCs w:val="25"/>
        </w:rPr>
        <w:t>(далее «Объект»), в котором проживает (владеет, пользуется) «Заказчик» и члены его семьи, а также лица, зарегистрированные или имеющие какое-либо право на «Объект», которым они пользуются на основании договора найма, аренды, права собственности или иного законного основания, а «Заказчик» оплачивает эти услуги, в соответствии с условиями настоящего Договора.</w:t>
      </w:r>
    </w:p>
    <w:p>
      <w:pPr>
        <w:pStyle w:val="Normal"/>
        <w:shd w:val="clear" w:color="auto" w:fill="FFFFFF"/>
        <w:tabs>
          <w:tab w:val="clear" w:pos="708"/>
          <w:tab w:val="left" w:pos="1418" w:leader="none"/>
        </w:tabs>
        <w:ind w:firstLine="709"/>
        <w:jc w:val="both"/>
        <w:rPr>
          <w:sz w:val="25"/>
          <w:szCs w:val="25"/>
        </w:rPr>
      </w:pPr>
      <w:r>
        <w:rPr>
          <w:sz w:val="25"/>
          <w:szCs w:val="25"/>
        </w:rPr>
        <w:t>1.2.</w:t>
        <w:tab/>
        <w:t>Принимаемый под охрану «Объект» оборудуется техническими средствами охраны (далее – ТСО). Передача тревожных извещений на пункт централизованной охраны (далее – ПЦО) «Исполнителя» реализуется с использованием проводной или беспроводной среды передачи информационных сигналов.</w:t>
      </w:r>
    </w:p>
    <w:p>
      <w:pPr>
        <w:pStyle w:val="Normal"/>
        <w:tabs>
          <w:tab w:val="clear" w:pos="708"/>
          <w:tab w:val="left" w:pos="1418" w:leader="none"/>
          <w:tab w:val="left" w:pos="1560" w:leader="none"/>
        </w:tabs>
        <w:ind w:firstLine="709"/>
        <w:jc w:val="both"/>
        <w:rPr>
          <w:sz w:val="25"/>
          <w:szCs w:val="25"/>
        </w:rPr>
      </w:pPr>
      <w:r>
        <w:rPr>
          <w:sz w:val="25"/>
          <w:szCs w:val="25"/>
        </w:rPr>
        <w:t>1.3.</w:t>
        <w:tab/>
        <w:t>Среда передачи информации реализуется в виде:</w:t>
      </w:r>
    </w:p>
    <w:p>
      <w:pPr>
        <w:pStyle w:val="Normal"/>
        <w:shd w:val="clear" w:color="auto" w:fill="FFFFFF"/>
        <w:tabs>
          <w:tab w:val="clear" w:pos="708"/>
          <w:tab w:val="left" w:pos="1418" w:leader="none"/>
        </w:tabs>
        <w:ind w:firstLine="709"/>
        <w:jc w:val="both"/>
        <w:rPr>
          <w:sz w:val="25"/>
          <w:szCs w:val="25"/>
        </w:rPr>
      </w:pPr>
      <w:r>
        <w:rPr>
          <w:sz w:val="25"/>
          <w:szCs w:val="25"/>
        </w:rPr>
        <w:t>1.3.1.</w:t>
        <w:tab/>
        <w:t>Каналов связи интернет провайдеров (коаксиальный кабель, «витая пара», оптоволоконный кабель).</w:t>
      </w:r>
    </w:p>
    <w:p>
      <w:pPr>
        <w:pStyle w:val="Normal"/>
        <w:tabs>
          <w:tab w:val="clear" w:pos="708"/>
          <w:tab w:val="left" w:pos="1134" w:leader="none"/>
          <w:tab w:val="left" w:pos="1418" w:leader="none"/>
        </w:tabs>
        <w:ind w:firstLine="709"/>
        <w:jc w:val="both"/>
        <w:rPr>
          <w:sz w:val="25"/>
          <w:szCs w:val="25"/>
        </w:rPr>
      </w:pPr>
      <w:r>
        <w:rPr>
          <w:sz w:val="25"/>
          <w:szCs w:val="25"/>
        </w:rPr>
        <w:t>1.3.2.</w:t>
        <w:tab/>
        <w:t>Каналов сетей сотовых операторов стандарта  GSM/GPRS.</w:t>
      </w:r>
    </w:p>
    <w:p>
      <w:pPr>
        <w:pStyle w:val="Normal"/>
        <w:shd w:val="clear" w:color="auto" w:fill="FFFFFF"/>
        <w:tabs>
          <w:tab w:val="clear" w:pos="708"/>
          <w:tab w:val="left" w:pos="1418" w:leader="none"/>
        </w:tabs>
        <w:ind w:firstLine="709"/>
        <w:jc w:val="both"/>
        <w:rPr>
          <w:sz w:val="25"/>
          <w:szCs w:val="25"/>
        </w:rPr>
      </w:pPr>
      <w:r>
        <w:rPr>
          <w:sz w:val="25"/>
          <w:szCs w:val="25"/>
        </w:rPr>
        <w:t>1.4.</w:t>
        <w:tab/>
        <w:t>Охрана «Объекта» заключается в централизованном наблюдении ПЦО «Исполнителя» в течение охраняемого времени за состоянием ТСО, установленных в «Объекте» и принятии мер реагирования на поступающие с «Объекта» сигналы, сформированные ТСО.</w:t>
      </w:r>
    </w:p>
    <w:p>
      <w:pPr>
        <w:pStyle w:val="Normal"/>
        <w:shd w:val="clear" w:color="auto" w:fill="FFFFFF"/>
        <w:tabs>
          <w:tab w:val="clear" w:pos="708"/>
          <w:tab w:val="left" w:pos="1418" w:leader="none"/>
        </w:tabs>
        <w:ind w:firstLine="709"/>
        <w:jc w:val="both"/>
        <w:rPr>
          <w:sz w:val="25"/>
          <w:szCs w:val="25"/>
        </w:rPr>
      </w:pPr>
      <w:r>
        <w:rPr>
          <w:sz w:val="25"/>
          <w:szCs w:val="25"/>
        </w:rPr>
        <w:t>1.5.</w:t>
        <w:tab/>
        <w:t>Охраняемое время – период времени с момента взятия «Объекта» под охрану «Исполнителем» до момента снятия «Объекта» с охраны «Заказчиком».</w:t>
      </w:r>
    </w:p>
    <w:p>
      <w:pPr>
        <w:pStyle w:val="Normal"/>
        <w:shd w:val="clear" w:color="auto" w:fill="FFFFFF"/>
        <w:tabs>
          <w:tab w:val="clear" w:pos="708"/>
          <w:tab w:val="left" w:pos="1418" w:leader="none"/>
        </w:tabs>
        <w:ind w:firstLine="709"/>
        <w:jc w:val="both"/>
        <w:rPr>
          <w:color w:val="000000"/>
          <w:sz w:val="25"/>
          <w:szCs w:val="25"/>
        </w:rPr>
      </w:pPr>
      <w:r>
        <w:rPr>
          <w:color w:val="000000"/>
          <w:spacing w:val="1"/>
          <w:sz w:val="25"/>
          <w:szCs w:val="25"/>
        </w:rPr>
        <w:t>1.6.</w:t>
        <w:tab/>
      </w:r>
      <w:r>
        <w:rPr>
          <w:sz w:val="25"/>
          <w:szCs w:val="25"/>
        </w:rPr>
        <w:t>Действие</w:t>
      </w:r>
      <w:r>
        <w:rPr>
          <w:color w:val="000000"/>
          <w:spacing w:val="1"/>
          <w:sz w:val="25"/>
          <w:szCs w:val="25"/>
        </w:rPr>
        <w:t xml:space="preserve"> Договора не распространяется на сохранность изделий из драгоценных металлов </w:t>
      </w:r>
      <w:r>
        <w:rPr>
          <w:color w:val="000000"/>
          <w:sz w:val="25"/>
          <w:szCs w:val="25"/>
        </w:rPr>
        <w:t>и камней, ценных бумаг, рукописей, сберегательных книжек, предметов религиозного культа, антиквариата, денежных средств,</w:t>
      </w:r>
      <w:r>
        <w:rPr>
          <w:sz w:val="25"/>
          <w:szCs w:val="25"/>
        </w:rPr>
        <w:t xml:space="preserve"> находящихся в охраняемом помещении «Объекта»,</w:t>
      </w:r>
      <w:r>
        <w:rPr>
          <w:color w:val="000000"/>
          <w:sz w:val="25"/>
          <w:szCs w:val="25"/>
        </w:rPr>
        <w:t xml:space="preserve"> а также </w:t>
      </w:r>
      <w:r>
        <w:rPr>
          <w:sz w:val="25"/>
          <w:szCs w:val="25"/>
        </w:rPr>
        <w:t xml:space="preserve">на автотранспортные средства, принадлежащие «Заказчику» и другим лицам, находящиеся в охраняемом помещении «Объекта», </w:t>
      </w:r>
      <w:r>
        <w:rPr>
          <w:color w:val="000000"/>
          <w:sz w:val="25"/>
          <w:szCs w:val="25"/>
        </w:rPr>
        <w:t>если это не оговорено дополнительными условиями Договора.</w:t>
      </w:r>
    </w:p>
    <w:p>
      <w:pPr>
        <w:pStyle w:val="Normal"/>
        <w:shd w:val="clear" w:color="auto" w:fill="FFFFFF"/>
        <w:spacing w:before="500" w:after="0"/>
        <w:ind w:firstLine="709"/>
        <w:jc w:val="center"/>
        <w:rPr>
          <w:b/>
          <w:b/>
          <w:sz w:val="25"/>
          <w:szCs w:val="25"/>
        </w:rPr>
      </w:pPr>
      <w:r>
        <w:rPr>
          <w:b/>
          <w:sz w:val="25"/>
          <w:szCs w:val="25"/>
        </w:rPr>
        <w:t xml:space="preserve">2. </w:t>
      </w:r>
      <w:r>
        <w:rPr>
          <w:rFonts w:eastAsia="Times New Roman" w:cs="Times New Roman"/>
          <w:b/>
          <w:sz w:val="25"/>
          <w:szCs w:val="25"/>
          <w:lang w:eastAsia="zh-CN"/>
        </w:rPr>
        <w:t>ОБЩИЕ ПОЛОЖЕНИЯ</w:t>
      </w:r>
    </w:p>
    <w:p>
      <w:pPr>
        <w:pStyle w:val="Normal"/>
        <w:tabs>
          <w:tab w:val="clear" w:pos="708"/>
          <w:tab w:val="left" w:pos="1418" w:leader="none"/>
        </w:tabs>
        <w:ind w:firstLine="709"/>
        <w:jc w:val="both"/>
        <w:rPr>
          <w:color w:val="000000" w:themeColor="text1"/>
          <w:sz w:val="25"/>
          <w:szCs w:val="25"/>
        </w:rPr>
      </w:pPr>
      <w:r>
        <w:rPr>
          <w:color w:val="000000" w:themeColor="text1"/>
          <w:sz w:val="25"/>
          <w:szCs w:val="25"/>
        </w:rPr>
        <w:t>2.1.</w:t>
        <w:tab/>
        <w:t>ТСО, установленные на «Объекте» «Заказчика», являющиеся собственностью «Исполнителя» при расторжении Договора подлежат возврату «Исполнителю».</w:t>
      </w:r>
    </w:p>
    <w:p>
      <w:pPr>
        <w:pStyle w:val="Normal"/>
        <w:shd w:val="clear" w:color="auto" w:fill="FFFFFF"/>
        <w:tabs>
          <w:tab w:val="clear" w:pos="708"/>
          <w:tab w:val="left" w:pos="1418" w:leader="none"/>
        </w:tabs>
        <w:ind w:firstLine="709"/>
        <w:jc w:val="both"/>
        <w:rPr>
          <w:sz w:val="25"/>
          <w:szCs w:val="25"/>
        </w:rPr>
      </w:pPr>
      <w:r>
        <w:rPr>
          <w:bCs/>
          <w:sz w:val="25"/>
          <w:szCs w:val="25"/>
        </w:rPr>
        <w:t>2.2.</w:t>
        <w:tab/>
        <w:t>«</w:t>
      </w:r>
      <w:r>
        <w:rPr>
          <w:sz w:val="25"/>
          <w:szCs w:val="25"/>
        </w:rPr>
        <w:t>Исполнитель</w:t>
      </w:r>
      <w:r>
        <w:rPr>
          <w:bCs/>
          <w:sz w:val="25"/>
          <w:szCs w:val="25"/>
        </w:rPr>
        <w:t xml:space="preserve">» предоставляет </w:t>
      </w:r>
      <w:r>
        <w:rPr>
          <w:sz w:val="25"/>
          <w:szCs w:val="25"/>
        </w:rPr>
        <w:t>«Заказчику» во временное пользование на безвозмездной основе ТСО, которые устанавливаются на «Объекте». ТСО передаются по акту приема-передачи (Приложение № 2), являющегося неотъемлемой частью настоящего Договора.</w:t>
      </w:r>
    </w:p>
    <w:p>
      <w:pPr>
        <w:pStyle w:val="Normal"/>
        <w:shd w:val="clear" w:color="auto" w:fill="FFFFFF"/>
        <w:tabs>
          <w:tab w:val="clear" w:pos="708"/>
          <w:tab w:val="left" w:pos="1418" w:leader="none"/>
        </w:tabs>
        <w:ind w:firstLine="709"/>
        <w:jc w:val="both"/>
        <w:rPr>
          <w:sz w:val="25"/>
          <w:szCs w:val="25"/>
        </w:rPr>
      </w:pPr>
      <w:r>
        <w:rPr>
          <w:bCs/>
          <w:sz w:val="25"/>
          <w:szCs w:val="25"/>
        </w:rPr>
        <w:t>2.3.</w:t>
        <w:tab/>
        <w:t xml:space="preserve">Возврат ТСО, указанных в пункте 2.2. настоящего Договора, производится путем его демонтажа </w:t>
      </w:r>
      <w:r>
        <w:rPr>
          <w:sz w:val="25"/>
          <w:szCs w:val="25"/>
        </w:rPr>
        <w:t>уполномоченными</w:t>
      </w:r>
      <w:r>
        <w:rPr>
          <w:bCs/>
          <w:sz w:val="25"/>
          <w:szCs w:val="25"/>
        </w:rPr>
        <w:t xml:space="preserve"> представителями «</w:t>
      </w:r>
      <w:r>
        <w:rPr>
          <w:sz w:val="25"/>
          <w:szCs w:val="25"/>
        </w:rPr>
        <w:t>Исполнителя</w:t>
      </w:r>
      <w:r>
        <w:rPr>
          <w:bCs/>
          <w:sz w:val="25"/>
          <w:szCs w:val="25"/>
        </w:rPr>
        <w:t>».</w:t>
      </w:r>
    </w:p>
    <w:p>
      <w:pPr>
        <w:pStyle w:val="Normal"/>
        <w:shd w:val="clear" w:color="auto" w:fill="FFFFFF"/>
        <w:tabs>
          <w:tab w:val="clear" w:pos="708"/>
          <w:tab w:val="left" w:pos="1418" w:leader="none"/>
        </w:tabs>
        <w:ind w:firstLine="709"/>
        <w:jc w:val="both"/>
        <w:rPr>
          <w:sz w:val="25"/>
          <w:szCs w:val="25"/>
        </w:rPr>
      </w:pPr>
      <w:r>
        <w:rPr>
          <w:bCs/>
          <w:sz w:val="25"/>
          <w:szCs w:val="25"/>
        </w:rPr>
        <w:t>2.4.</w:t>
        <w:tab/>
        <w:t xml:space="preserve">Пункты 2.1-2.3 настоящего Договора не подлежат применению в случае самостоятельного приобретения «Заказчиком» </w:t>
      </w:r>
      <w:r>
        <w:rPr>
          <w:sz w:val="25"/>
          <w:szCs w:val="25"/>
        </w:rPr>
        <w:t xml:space="preserve">ТСО </w:t>
      </w:r>
      <w:r>
        <w:rPr>
          <w:bCs/>
          <w:sz w:val="25"/>
          <w:szCs w:val="25"/>
        </w:rPr>
        <w:t>за счет собственных средств.</w:t>
      </w:r>
    </w:p>
    <w:p>
      <w:pPr>
        <w:pStyle w:val="Normal"/>
        <w:shd w:val="clear" w:color="auto" w:fill="FFFFFF"/>
        <w:tabs>
          <w:tab w:val="clear" w:pos="708"/>
          <w:tab w:val="left" w:pos="1418" w:leader="none"/>
        </w:tabs>
        <w:ind w:firstLine="709"/>
        <w:jc w:val="both"/>
        <w:rPr>
          <w:sz w:val="25"/>
          <w:szCs w:val="25"/>
        </w:rPr>
      </w:pPr>
      <w:r>
        <w:rPr>
          <w:sz w:val="25"/>
          <w:szCs w:val="25"/>
        </w:rPr>
        <w:t>2.5.</w:t>
        <w:tab/>
        <w:t xml:space="preserve">Охрана осуществляется и возможна только при наличии технической возможности, технологически неразрывно связанной с услугами предоставляемыми оператором связи (интернет провайдером) «Заказчику» и «Исполнителю» при охране через интернет линию и/или по каналу GSM/GPRS.  </w:t>
      </w:r>
    </w:p>
    <w:p>
      <w:pPr>
        <w:pStyle w:val="Normal"/>
        <w:shd w:val="clear" w:color="auto" w:fill="FFFFFF"/>
        <w:tabs>
          <w:tab w:val="clear" w:pos="708"/>
          <w:tab w:val="left" w:pos="1418" w:leader="none"/>
        </w:tabs>
        <w:ind w:firstLine="709"/>
        <w:jc w:val="both"/>
        <w:rPr>
          <w:sz w:val="25"/>
          <w:szCs w:val="25"/>
        </w:rPr>
      </w:pPr>
      <w:r>
        <w:rPr>
          <w:bCs/>
          <w:sz w:val="25"/>
          <w:szCs w:val="25"/>
        </w:rPr>
        <w:t>2.6.</w:t>
        <w:tab/>
        <w:t>Перед приемом «Объекта» под охрану «</w:t>
      </w:r>
      <w:r>
        <w:rPr>
          <w:sz w:val="25"/>
          <w:szCs w:val="25"/>
        </w:rPr>
        <w:t>Исполнитель</w:t>
      </w:r>
      <w:r>
        <w:rPr>
          <w:bCs/>
          <w:sz w:val="25"/>
          <w:szCs w:val="25"/>
        </w:rPr>
        <w:t>» предлагает «Заказчику» оборудовать «</w:t>
      </w:r>
      <w:r>
        <w:rPr>
          <w:sz w:val="25"/>
          <w:szCs w:val="25"/>
        </w:rPr>
        <w:t>Объект</w:t>
      </w:r>
      <w:r>
        <w:rPr>
          <w:bCs/>
          <w:sz w:val="25"/>
          <w:szCs w:val="25"/>
        </w:rPr>
        <w:t xml:space="preserve">» инженерно-техническими средствами охраны, в соответствии </w:t>
      </w:r>
      <w:r>
        <w:rPr>
          <w:sz w:val="25"/>
          <w:szCs w:val="25"/>
        </w:rPr>
        <w:t>с действующими методическим рекомендациям Росгвардии по инженерно-технической укрепленности принимаемых под охрану объектов и оснащению их ТСО</w:t>
      </w:r>
      <w:r>
        <w:rPr>
          <w:bCs/>
          <w:sz w:val="25"/>
          <w:szCs w:val="25"/>
        </w:rPr>
        <w:t>. Принимаемый под охрану «Объект» должен иметь исправные окна, форточки, входные и балконные двери и запорные устройства на них. Внешняя входная дверь должна иметь не менее двух врезных замков.</w:t>
      </w:r>
    </w:p>
    <w:p>
      <w:pPr>
        <w:pStyle w:val="Normal"/>
        <w:tabs>
          <w:tab w:val="clear" w:pos="708"/>
          <w:tab w:val="left" w:pos="1418" w:leader="none"/>
        </w:tabs>
        <w:ind w:firstLine="709"/>
        <w:jc w:val="both"/>
        <w:rPr>
          <w:bCs/>
          <w:sz w:val="25"/>
          <w:szCs w:val="25"/>
        </w:rPr>
      </w:pPr>
      <w:r>
        <w:rPr>
          <w:bCs/>
          <w:sz w:val="25"/>
          <w:szCs w:val="25"/>
        </w:rPr>
        <w:t>2.7.</w:t>
        <w:tab/>
      </w:r>
      <w:r>
        <w:rPr>
          <w:sz w:val="25"/>
          <w:szCs w:val="25"/>
        </w:rPr>
        <w:t>На момент заключения настоящего Договора часть существенных условий устанавливается в Приложении № 1 (тариф, перечень заблокированных ТСО мест возможного проникновения на «Объект», доверенные лица, количество принятых дубликатов ключей, наличие животных), которое является неотъемлемой частью Договора. При наличии двух или более подписанных «Сторонами» Приложений № 1, действует последнее.</w:t>
      </w:r>
    </w:p>
    <w:p>
      <w:pPr>
        <w:pStyle w:val="Normal"/>
        <w:shd w:val="clear" w:color="auto" w:fill="FFFFFF"/>
        <w:tabs>
          <w:tab w:val="clear" w:pos="708"/>
          <w:tab w:val="left" w:pos="1418" w:leader="none"/>
        </w:tabs>
        <w:ind w:firstLine="709"/>
        <w:jc w:val="both"/>
        <w:rPr>
          <w:sz w:val="25"/>
          <w:szCs w:val="25"/>
        </w:rPr>
      </w:pPr>
      <w:r>
        <w:rPr>
          <w:bCs/>
          <w:sz w:val="25"/>
          <w:szCs w:val="25"/>
        </w:rPr>
        <w:t>2.8.</w:t>
        <w:tab/>
        <w:t xml:space="preserve">Договор заключается после устранения «Заказчиком» замечаний по инженерно-технической укрепленности «Объекта», оборудования «Объекта» ТСО, контрольной проверки </w:t>
      </w:r>
      <w:r>
        <w:rPr>
          <w:sz w:val="25"/>
          <w:szCs w:val="25"/>
        </w:rPr>
        <w:t>работоспособности</w:t>
      </w:r>
      <w:r>
        <w:rPr>
          <w:bCs/>
          <w:sz w:val="25"/>
          <w:szCs w:val="25"/>
        </w:rPr>
        <w:t xml:space="preserve"> ТСО и сдачи  «Заказчиком» дубликатов ключей от входных дверей «Объекта» и его помещений, а также запорных устройств дверей подъезда и холла, сообщения кодов запорных устройств (если таковые имеются) «Исполнителю».</w:t>
      </w:r>
    </w:p>
    <w:p>
      <w:pPr>
        <w:pStyle w:val="Normal"/>
        <w:shd w:val="clear" w:color="auto" w:fill="FFFFFF"/>
        <w:tabs>
          <w:tab w:val="clear" w:pos="708"/>
          <w:tab w:val="left" w:pos="1418" w:leader="none"/>
        </w:tabs>
        <w:ind w:firstLine="709"/>
        <w:jc w:val="both"/>
        <w:rPr>
          <w:sz w:val="25"/>
          <w:szCs w:val="25"/>
        </w:rPr>
      </w:pPr>
      <w:r>
        <w:rPr>
          <w:spacing w:val="-1"/>
          <w:sz w:val="25"/>
          <w:szCs w:val="25"/>
        </w:rPr>
        <w:t>2.9.</w:t>
        <w:tab/>
        <w:t xml:space="preserve">В случае отказа «Заказчика» от сдачи дубликатов ключей «Исполнителю», вскрытие «Объекта» для </w:t>
      </w:r>
      <w:r>
        <w:rPr>
          <w:sz w:val="25"/>
          <w:szCs w:val="25"/>
        </w:rPr>
        <w:t>осмотра</w:t>
      </w:r>
      <w:r>
        <w:rPr>
          <w:spacing w:val="-1"/>
          <w:sz w:val="25"/>
          <w:szCs w:val="25"/>
        </w:rPr>
        <w:t xml:space="preserve"> и пересдачи силами групп задержания вневедомственной охраны (далее – ГЗ) не производится. При невозможности установления местонахождения «Заказчика» или члена его семьи, доверенного лица, а также при не прибытии «Заказчика» или члена его семьи, доверенного лица в кратчайшие сроки для перезакрытия «Объекта», охрана «Объекта» осуществляется ГЗ, но не более 2 (двух) часов, далее «Объект» снимается с охраны. В данном случае «Исполнитель» материальную ответственность за находящееся на «Объекте» имущество не несёт.</w:t>
      </w:r>
    </w:p>
    <w:p>
      <w:pPr>
        <w:pStyle w:val="Normal"/>
        <w:shd w:val="clear" w:color="auto" w:fill="FFFFFF"/>
        <w:tabs>
          <w:tab w:val="clear" w:pos="708"/>
          <w:tab w:val="left" w:pos="1418" w:leader="none"/>
        </w:tabs>
        <w:ind w:firstLine="709"/>
        <w:jc w:val="both"/>
        <w:rPr>
          <w:sz w:val="25"/>
          <w:szCs w:val="25"/>
        </w:rPr>
      </w:pPr>
      <w:r>
        <w:rPr>
          <w:bCs/>
          <w:sz w:val="25"/>
          <w:szCs w:val="25"/>
        </w:rPr>
        <w:t>2.10.</w:t>
        <w:tab/>
        <w:t xml:space="preserve">Договор </w:t>
      </w:r>
      <w:r>
        <w:rPr>
          <w:sz w:val="25"/>
          <w:szCs w:val="25"/>
        </w:rPr>
        <w:t>заключается</w:t>
      </w:r>
      <w:r>
        <w:rPr>
          <w:bCs/>
          <w:sz w:val="25"/>
          <w:szCs w:val="25"/>
        </w:rPr>
        <w:t xml:space="preserve"> без осмотра и описи находящегося на «Объекте» имущества, которое «Заказчик» оценивает в одностороннем порядке, но не ниже минимальной суммы, установленной «</w:t>
      </w:r>
      <w:r>
        <w:rPr>
          <w:sz w:val="25"/>
          <w:szCs w:val="25"/>
        </w:rPr>
        <w:t>Исполнителем</w:t>
      </w:r>
      <w:r>
        <w:rPr>
          <w:bCs/>
          <w:sz w:val="25"/>
          <w:szCs w:val="25"/>
        </w:rPr>
        <w:t>». Сумма оценки имущества указывается в Приложении № 1 в полных тысячах и может быть изменена по желанию «Заказчика», с одновременным переоформлением Приложения № 1. При увеличении оценки имущества выше минимальной суммы, увеличивается абонентская плата, взимаемая по настоящему Договору, на 1 % за каждую заявленную «Заказчиком» тысячу рублей.</w:t>
      </w:r>
    </w:p>
    <w:p>
      <w:pPr>
        <w:pStyle w:val="Normal"/>
        <w:shd w:val="clear" w:color="auto" w:fill="FFFFFF"/>
        <w:tabs>
          <w:tab w:val="clear" w:pos="708"/>
          <w:tab w:val="left" w:pos="1418" w:leader="none"/>
        </w:tabs>
        <w:ind w:firstLine="709"/>
        <w:jc w:val="both"/>
        <w:rPr>
          <w:sz w:val="25"/>
          <w:szCs w:val="25"/>
        </w:rPr>
      </w:pPr>
      <w:r>
        <w:rPr>
          <w:bCs/>
          <w:sz w:val="25"/>
          <w:szCs w:val="25"/>
        </w:rPr>
        <w:t>2.11.</w:t>
        <w:tab/>
        <w:t xml:space="preserve">Работы по установке и монтажу ТСО на «Объекте» проводятся в соответствии с согласованной «Исполнителем» проектной документацией или актами обследования со схемой </w:t>
      </w:r>
      <w:r>
        <w:rPr>
          <w:sz w:val="25"/>
          <w:szCs w:val="25"/>
        </w:rPr>
        <w:t>блокировки</w:t>
      </w:r>
      <w:r>
        <w:rPr>
          <w:bCs/>
          <w:sz w:val="25"/>
          <w:szCs w:val="25"/>
        </w:rPr>
        <w:t>. Демонтаж ТСО и иные изменения в схеме блокировки производятся по согласованию с «Исполнителем».</w:t>
      </w:r>
    </w:p>
    <w:p>
      <w:pPr>
        <w:pStyle w:val="Normal"/>
        <w:shd w:val="clear" w:color="auto" w:fill="FFFFFF"/>
        <w:tabs>
          <w:tab w:val="clear" w:pos="708"/>
          <w:tab w:val="left" w:pos="1418" w:leader="none"/>
        </w:tabs>
        <w:ind w:firstLine="709"/>
        <w:jc w:val="both"/>
        <w:rPr>
          <w:sz w:val="25"/>
          <w:szCs w:val="25"/>
        </w:rPr>
      </w:pPr>
      <w:r>
        <w:rPr>
          <w:bCs/>
          <w:sz w:val="25"/>
          <w:szCs w:val="25"/>
        </w:rPr>
        <w:t>2.12.</w:t>
        <w:tab/>
        <w:t>Эксплуатация ТСО на охраняемом «Объекте» осуществляется «Заказчиком»; услуги по техническому обслуживанию, ремонту ТСО на «Объекте» оказываются организацией, уполномоченной осуществлять ремонт и техническое обслуживание ТСО, с которой «Заказчик» заключает отдельный договор.</w:t>
      </w:r>
    </w:p>
    <w:p>
      <w:pPr>
        <w:pStyle w:val="Normal"/>
        <w:shd w:val="clear" w:color="auto" w:fill="FFFFFF"/>
        <w:tabs>
          <w:tab w:val="clear" w:pos="708"/>
          <w:tab w:val="left" w:pos="1418" w:leader="none"/>
        </w:tabs>
        <w:ind w:firstLine="709"/>
        <w:jc w:val="both"/>
        <w:rPr>
          <w:sz w:val="25"/>
          <w:szCs w:val="25"/>
        </w:rPr>
      </w:pPr>
      <w:r>
        <w:rPr>
          <w:bCs/>
          <w:sz w:val="25"/>
          <w:szCs w:val="25"/>
        </w:rPr>
        <w:t>2.13.</w:t>
        <w:tab/>
        <w:t xml:space="preserve">Все работы на «Объекте», связанные с капитальным ремонтом ТСО, а также работы по изменению </w:t>
      </w:r>
      <w:r>
        <w:rPr>
          <w:sz w:val="25"/>
          <w:szCs w:val="25"/>
        </w:rPr>
        <w:t>схемы</w:t>
      </w:r>
      <w:r>
        <w:rPr>
          <w:bCs/>
          <w:sz w:val="25"/>
          <w:szCs w:val="25"/>
        </w:rPr>
        <w:t xml:space="preserve"> блокировки ТСО; замене ТСО вышедших из строя, в том числе источников постоянного тока (сменных батарей, аккумуляторов), производятся организацией, обслуживающей ТСО. При необходимости проведения капитального ремонта ТСО или их замены, «</w:t>
      </w:r>
      <w:r>
        <w:rPr>
          <w:sz w:val="25"/>
          <w:szCs w:val="25"/>
        </w:rPr>
        <w:t>Исполнитель</w:t>
      </w:r>
      <w:r>
        <w:rPr>
          <w:bCs/>
          <w:sz w:val="25"/>
          <w:szCs w:val="25"/>
        </w:rPr>
        <w:t>» и (или) обслуживающая организация направляет «Заказчику» требование о проведении капитального ремонта в установленные сроки.</w:t>
      </w:r>
    </w:p>
    <w:p>
      <w:pPr>
        <w:pStyle w:val="Normal"/>
        <w:shd w:val="clear" w:color="auto" w:fill="FFFFFF"/>
        <w:tabs>
          <w:tab w:val="clear" w:pos="708"/>
          <w:tab w:val="left" w:pos="1418" w:leader="none"/>
        </w:tabs>
        <w:ind w:firstLine="709"/>
        <w:jc w:val="both"/>
        <w:rPr>
          <w:sz w:val="25"/>
          <w:szCs w:val="25"/>
        </w:rPr>
      </w:pPr>
      <w:r>
        <w:rPr>
          <w:bCs/>
          <w:sz w:val="25"/>
          <w:szCs w:val="25"/>
        </w:rPr>
        <w:t>2.14.</w:t>
        <w:tab/>
        <w:t>«Заказчик» и члены его семьи имеют равные права в пользовании ТСО, установленными на «Объекте».</w:t>
      </w:r>
    </w:p>
    <w:p>
      <w:pPr>
        <w:pStyle w:val="Normal"/>
        <w:shd w:val="clear" w:color="auto" w:fill="FFFFFF"/>
        <w:tabs>
          <w:tab w:val="clear" w:pos="708"/>
          <w:tab w:val="left" w:pos="1418" w:leader="none"/>
        </w:tabs>
        <w:ind w:firstLine="709"/>
        <w:jc w:val="both"/>
        <w:rPr>
          <w:sz w:val="25"/>
          <w:szCs w:val="25"/>
        </w:rPr>
      </w:pPr>
      <w:r>
        <w:rPr>
          <w:bCs/>
          <w:sz w:val="25"/>
          <w:szCs w:val="25"/>
        </w:rPr>
        <w:t>2.15.</w:t>
        <w:tab/>
        <w:t>В случае временного отсутствия «Заказчика» и членов его семьи, права и обязанности по настоящему Договору возлагаются «Заказчиком» на доверенных лиц.</w:t>
      </w:r>
    </w:p>
    <w:p>
      <w:pPr>
        <w:pStyle w:val="Normal"/>
        <w:shd w:val="clear" w:color="auto" w:fill="FFFFFF"/>
        <w:tabs>
          <w:tab w:val="clear" w:pos="708"/>
          <w:tab w:val="left" w:pos="1418" w:leader="none"/>
        </w:tabs>
        <w:ind w:firstLine="709"/>
        <w:jc w:val="both"/>
        <w:rPr>
          <w:sz w:val="25"/>
          <w:szCs w:val="25"/>
        </w:rPr>
      </w:pPr>
      <w:r>
        <w:rPr>
          <w:bCs/>
          <w:sz w:val="25"/>
          <w:szCs w:val="25"/>
        </w:rPr>
        <w:t>2.16.</w:t>
        <w:tab/>
        <w:t>Порядок действий должностных лиц «</w:t>
      </w:r>
      <w:r>
        <w:rPr>
          <w:sz w:val="25"/>
          <w:szCs w:val="25"/>
        </w:rPr>
        <w:t>Исполнителя</w:t>
      </w:r>
      <w:r>
        <w:rPr>
          <w:bCs/>
          <w:sz w:val="25"/>
          <w:szCs w:val="25"/>
        </w:rPr>
        <w:t xml:space="preserve">» при организации охраны «Объекта» и </w:t>
      </w:r>
      <w:r>
        <w:rPr>
          <w:sz w:val="25"/>
          <w:szCs w:val="25"/>
        </w:rPr>
        <w:t>контроле</w:t>
      </w:r>
      <w:r>
        <w:rPr>
          <w:bCs/>
          <w:sz w:val="25"/>
          <w:szCs w:val="25"/>
        </w:rPr>
        <w:t xml:space="preserve"> за техническим обслуживанием ТСО, установленных на «Объекте», регламентируется</w:t>
      </w:r>
      <w:r>
        <w:rPr>
          <w:sz w:val="25"/>
          <w:szCs w:val="25"/>
        </w:rPr>
        <w:t xml:space="preserve"> нормативными документами Росгвардии</w:t>
      </w:r>
      <w:r>
        <w:rPr>
          <w:bCs/>
          <w:sz w:val="25"/>
          <w:szCs w:val="25"/>
        </w:rPr>
        <w:t>.</w:t>
      </w:r>
    </w:p>
    <w:p>
      <w:pPr>
        <w:pStyle w:val="Normal"/>
        <w:shd w:val="clear" w:color="auto" w:fill="FFFFFF"/>
        <w:tabs>
          <w:tab w:val="clear" w:pos="708"/>
          <w:tab w:val="left" w:pos="1418" w:leader="none"/>
        </w:tabs>
        <w:ind w:firstLine="709"/>
        <w:jc w:val="both"/>
        <w:rPr>
          <w:sz w:val="25"/>
          <w:szCs w:val="25"/>
        </w:rPr>
      </w:pPr>
      <w:r>
        <w:rPr>
          <w:sz w:val="25"/>
          <w:szCs w:val="25"/>
        </w:rPr>
        <w:t>2.17.</w:t>
        <w:tab/>
        <w:t>В случае наличия в охраняемое время внутри «Объекта» животных, не закрытых в определенном «Заказчиком» помещении «Объекта» и представляющих опасность для сотрудников «Исполнителя», сданный под охрану «Объект» после поступления сигнала о срабатывании ТСО на охраняемом «Объекте» не вскрывается, а производится только его внешний осмотр. Повторная сдача «Объекта» под охрану не производится и другой вид охраны «Объекта», кроме указанного в пункте 2.9 Договора, не используется.</w:t>
      </w:r>
    </w:p>
    <w:p>
      <w:pPr>
        <w:pStyle w:val="Normal"/>
        <w:shd w:val="clear" w:color="auto" w:fill="FFFFFF"/>
        <w:tabs>
          <w:tab w:val="clear" w:pos="708"/>
          <w:tab w:val="left" w:pos="1418" w:leader="none"/>
        </w:tabs>
        <w:ind w:firstLine="709"/>
        <w:jc w:val="both"/>
        <w:rPr>
          <w:b/>
          <w:b/>
          <w:sz w:val="25"/>
          <w:szCs w:val="25"/>
          <w:u w:val="single"/>
        </w:rPr>
      </w:pPr>
      <w:r>
        <w:rPr>
          <w:sz w:val="25"/>
          <w:szCs w:val="25"/>
        </w:rPr>
        <w:t>2.18.</w:t>
        <w:tab/>
        <w:t>«Заказчик» компенсирует «Исполнителю» затраты, связанные с ложными выездами ГЗ по вине «Заказчика» (действия (бездействия) «Заказчика» и (или) членов семьи (доверенных лиц) повлекшие срабатывание ТСО, а также вскрытие и осмотр «Объекта», находящегося под охраной).</w:t>
      </w:r>
    </w:p>
    <w:p>
      <w:pPr>
        <w:pStyle w:val="Normal"/>
        <w:spacing w:before="500" w:after="0"/>
        <w:ind w:left="765" w:hanging="0"/>
        <w:jc w:val="center"/>
        <w:rPr>
          <w:sz w:val="25"/>
          <w:szCs w:val="25"/>
        </w:rPr>
      </w:pPr>
      <w:r>
        <w:rPr>
          <w:b/>
          <w:sz w:val="25"/>
          <w:szCs w:val="25"/>
        </w:rPr>
        <w:t>3. ОБЯЗАННОСТИ «ИСПОЛНИТЕЛЯ»</w:t>
      </w:r>
    </w:p>
    <w:p>
      <w:pPr>
        <w:pStyle w:val="Normal"/>
        <w:shd w:val="clear" w:color="auto" w:fill="FFFFFF"/>
        <w:tabs>
          <w:tab w:val="clear" w:pos="708"/>
          <w:tab w:val="left" w:pos="1418" w:leader="none"/>
        </w:tabs>
        <w:ind w:firstLine="709"/>
        <w:jc w:val="both"/>
        <w:rPr>
          <w:sz w:val="25"/>
          <w:szCs w:val="25"/>
        </w:rPr>
      </w:pPr>
      <w:r>
        <w:rPr>
          <w:sz w:val="25"/>
          <w:szCs w:val="25"/>
        </w:rPr>
        <w:t>3.1.</w:t>
        <w:tab/>
        <w:t>Принимать «Объект» «Заказчика» в установленном порядке под охрану с помощью ТСО, установленных на данном «Объекте».</w:t>
      </w:r>
    </w:p>
    <w:p>
      <w:pPr>
        <w:pStyle w:val="Normal"/>
        <w:shd w:val="clear" w:color="auto" w:fill="FFFFFF"/>
        <w:tabs>
          <w:tab w:val="clear" w:pos="708"/>
          <w:tab w:val="left" w:pos="1418" w:leader="none"/>
        </w:tabs>
        <w:ind w:firstLine="709"/>
        <w:jc w:val="both"/>
        <w:rPr>
          <w:sz w:val="25"/>
          <w:szCs w:val="25"/>
        </w:rPr>
      </w:pPr>
      <w:r>
        <w:rPr>
          <w:sz w:val="25"/>
          <w:szCs w:val="25"/>
        </w:rPr>
        <w:t>3.2.</w:t>
        <w:tab/>
        <w:t>Осуществлять наблюдение за режимом работы ТСО на охраняемом «Объекте» на весь период сдачи его «Заказчиком» под охрану.</w:t>
      </w:r>
    </w:p>
    <w:p>
      <w:pPr>
        <w:pStyle w:val="Normal"/>
        <w:shd w:val="clear" w:color="auto" w:fill="FFFFFF"/>
        <w:tabs>
          <w:tab w:val="clear" w:pos="708"/>
          <w:tab w:val="left" w:pos="1418" w:leader="none"/>
        </w:tabs>
        <w:ind w:firstLine="709"/>
        <w:jc w:val="both"/>
        <w:rPr>
          <w:sz w:val="25"/>
          <w:szCs w:val="25"/>
        </w:rPr>
      </w:pPr>
      <w:r>
        <w:rPr>
          <w:sz w:val="25"/>
          <w:szCs w:val="25"/>
        </w:rPr>
        <w:t>3.3.</w:t>
        <w:tab/>
        <w:t>При поступлении на ПЦО «Исполнителя» информации о срабатывании ТСО на «Объекте»:</w:t>
      </w:r>
    </w:p>
    <w:p>
      <w:pPr>
        <w:pStyle w:val="Normal"/>
        <w:shd w:val="clear" w:color="auto" w:fill="FFFFFF"/>
        <w:tabs>
          <w:tab w:val="clear" w:pos="708"/>
          <w:tab w:val="left" w:pos="1418" w:leader="none"/>
        </w:tabs>
        <w:ind w:firstLine="709"/>
        <w:jc w:val="both"/>
        <w:rPr>
          <w:sz w:val="25"/>
          <w:szCs w:val="25"/>
        </w:rPr>
      </w:pPr>
      <w:r>
        <w:rPr>
          <w:sz w:val="25"/>
          <w:szCs w:val="25"/>
        </w:rPr>
        <w:t>3.3.1.</w:t>
        <w:tab/>
        <w:t>Обеспечить незамедлительное направление на охраняемый «Объект» ГЗ для выяснения причин срабатывания ТСО, проведение внешнего осмотра «Объекта» на предмет его целостности, а при необходимости, принятие мер к задержанию проникших (пытающихся проникнуть) на «Объект» посторонних лиц.</w:t>
      </w:r>
    </w:p>
    <w:p>
      <w:pPr>
        <w:pStyle w:val="Normal"/>
        <w:shd w:val="clear" w:color="auto" w:fill="FFFFFF"/>
        <w:tabs>
          <w:tab w:val="clear" w:pos="708"/>
          <w:tab w:val="left" w:pos="1418" w:leader="none"/>
        </w:tabs>
        <w:ind w:firstLine="709"/>
        <w:jc w:val="both"/>
        <w:rPr>
          <w:sz w:val="25"/>
          <w:szCs w:val="25"/>
        </w:rPr>
      </w:pPr>
      <w:r>
        <w:rPr>
          <w:color w:val="000000"/>
          <w:spacing w:val="-5"/>
          <w:sz w:val="25"/>
          <w:szCs w:val="25"/>
        </w:rPr>
        <w:t>3.3.2.</w:t>
        <w:tab/>
        <w:t>В случае поступления</w:t>
      </w:r>
      <w:r>
        <w:rPr>
          <w:color w:val="000000"/>
          <w:spacing w:val="-13"/>
          <w:sz w:val="25"/>
          <w:szCs w:val="25"/>
        </w:rPr>
        <w:t xml:space="preserve"> на ПЦО «Исполнителя»</w:t>
      </w:r>
      <w:r>
        <w:rPr>
          <w:color w:val="000000"/>
          <w:spacing w:val="-5"/>
          <w:sz w:val="25"/>
          <w:szCs w:val="25"/>
        </w:rPr>
        <w:t xml:space="preserve"> сигнала «Тревога» или не взятии «Объекта» под охра</w:t>
      </w:r>
      <w:r>
        <w:rPr>
          <w:color w:val="000000"/>
          <w:spacing w:val="-13"/>
          <w:sz w:val="25"/>
          <w:szCs w:val="25"/>
        </w:rPr>
        <w:t xml:space="preserve">ну после того, когда  «Заказчик» покинул его после сдачи под охрану установленным порядком, а также в случаях, когда  охрана «Объекта» прерывалась по не зависящим от «Исполнителя» причинам и не восстановилась (отключение электроэнергии, перебои в работе операторов связи и радиосвязи через которые ТСО подключены к ПЦО) </w:t>
      </w:r>
      <w:r>
        <w:rPr>
          <w:sz w:val="25"/>
          <w:szCs w:val="25"/>
        </w:rPr>
        <w:t>–</w:t>
      </w:r>
      <w:r>
        <w:rPr>
          <w:color w:val="000000"/>
          <w:spacing w:val="-13"/>
          <w:sz w:val="25"/>
          <w:szCs w:val="25"/>
        </w:rPr>
        <w:t xml:space="preserve"> </w:t>
      </w:r>
      <w:r>
        <w:rPr>
          <w:color w:val="000000"/>
          <w:spacing w:val="-5"/>
          <w:sz w:val="25"/>
          <w:szCs w:val="25"/>
        </w:rPr>
        <w:t xml:space="preserve">вскрывать «Объект» дубликатами ключей и осматривать его в присутствии понятых или без </w:t>
      </w:r>
      <w:r>
        <w:rPr>
          <w:color w:val="000000"/>
          <w:spacing w:val="-3"/>
          <w:sz w:val="25"/>
          <w:szCs w:val="25"/>
        </w:rPr>
        <w:t xml:space="preserve">них (по согласованию с </w:t>
      </w:r>
      <w:r>
        <w:rPr>
          <w:color w:val="000000"/>
          <w:spacing w:val="-5"/>
          <w:sz w:val="25"/>
          <w:szCs w:val="25"/>
        </w:rPr>
        <w:t>«</w:t>
      </w:r>
      <w:r>
        <w:rPr>
          <w:color w:val="000000"/>
          <w:spacing w:val="-3"/>
          <w:sz w:val="25"/>
          <w:szCs w:val="25"/>
        </w:rPr>
        <w:t>Заказчиком</w:t>
      </w:r>
      <w:r>
        <w:rPr>
          <w:color w:val="000000"/>
          <w:spacing w:val="-5"/>
          <w:sz w:val="25"/>
          <w:szCs w:val="25"/>
        </w:rPr>
        <w:t>»</w:t>
      </w:r>
      <w:r>
        <w:rPr>
          <w:color w:val="000000"/>
          <w:spacing w:val="-3"/>
          <w:sz w:val="25"/>
          <w:szCs w:val="25"/>
        </w:rPr>
        <w:t>) с составлением акта о вскрытии и осмотре; производить повторную</w:t>
      </w:r>
      <w:r>
        <w:rPr>
          <w:color w:val="000000"/>
          <w:spacing w:val="-5"/>
          <w:sz w:val="25"/>
          <w:szCs w:val="25"/>
        </w:rPr>
        <w:t xml:space="preserve"> сдачу «Объекта» под охрану. Предоставить по требованию «Заказчика» экземпляр акта о вскрытии и осмотре «Объекта» ГЗ.</w:t>
      </w:r>
    </w:p>
    <w:p>
      <w:pPr>
        <w:pStyle w:val="Normal"/>
        <w:shd w:val="clear" w:color="auto" w:fill="FFFFFF"/>
        <w:tabs>
          <w:tab w:val="clear" w:pos="708"/>
          <w:tab w:val="left" w:pos="1418" w:leader="none"/>
        </w:tabs>
        <w:ind w:firstLine="709"/>
        <w:jc w:val="both"/>
        <w:rPr>
          <w:sz w:val="25"/>
          <w:szCs w:val="25"/>
        </w:rPr>
      </w:pPr>
      <w:r>
        <w:rPr>
          <w:sz w:val="25"/>
          <w:szCs w:val="25"/>
        </w:rPr>
        <w:t>3.4.</w:t>
        <w:tab/>
        <w:t>При обнаружении на охраняемом «Объекте» признаков проникновения (попытки проникновения) посторонних лиц:</w:t>
      </w:r>
    </w:p>
    <w:p>
      <w:pPr>
        <w:pStyle w:val="Normal"/>
        <w:shd w:val="clear" w:color="auto" w:fill="FFFFFF"/>
        <w:tabs>
          <w:tab w:val="clear" w:pos="708"/>
          <w:tab w:val="left" w:pos="1418" w:leader="none"/>
        </w:tabs>
        <w:ind w:firstLine="709"/>
        <w:jc w:val="both"/>
        <w:rPr>
          <w:sz w:val="25"/>
          <w:szCs w:val="25"/>
        </w:rPr>
      </w:pPr>
      <w:r>
        <w:rPr>
          <w:sz w:val="25"/>
          <w:szCs w:val="25"/>
        </w:rPr>
        <w:t>3.4.1.</w:t>
        <w:tab/>
        <w:t>Сообщить в территориальный отдел полиции и принять меры к вызову «Заказчика» (члена его семьи, доверенного лица).</w:t>
      </w:r>
    </w:p>
    <w:p>
      <w:pPr>
        <w:pStyle w:val="Normal"/>
        <w:shd w:val="clear" w:color="auto" w:fill="FFFFFF"/>
        <w:tabs>
          <w:tab w:val="clear" w:pos="708"/>
          <w:tab w:val="left" w:pos="1418" w:leader="none"/>
        </w:tabs>
        <w:ind w:firstLine="709"/>
        <w:jc w:val="both"/>
        <w:rPr>
          <w:sz w:val="25"/>
          <w:szCs w:val="25"/>
        </w:rPr>
      </w:pPr>
      <w:r>
        <w:rPr>
          <w:sz w:val="25"/>
          <w:szCs w:val="25"/>
        </w:rPr>
        <w:t>3.4.2.</w:t>
        <w:tab/>
        <w:t>Обеспечить неприкосновенность места происшествия до прибытия «Заказчика» или члена его семьи, доверенного лица, но не более 2 (двух) часов с момента уведомления «Заказчика» о проникновении (попытки проникновения). В случае неприбытия «Заказчика» или члена его семьи, доверенного лица в течение указанного срока, охрана «Объекта» прекращается. В случае отказа «Заказчика» или члена его семьи, доверенного лица от выезда на «Объект», охрана «Объекта» прекращается. В данных случаях «Исполнитель» материальную ответственность за находящееся на «Объекте» имущество не несёт.</w:t>
      </w:r>
    </w:p>
    <w:p>
      <w:pPr>
        <w:pStyle w:val="Normal"/>
        <w:shd w:val="clear" w:color="auto" w:fill="FFFFFF"/>
        <w:tabs>
          <w:tab w:val="clear" w:pos="708"/>
          <w:tab w:val="left" w:pos="1418" w:leader="none"/>
        </w:tabs>
        <w:ind w:firstLine="709"/>
        <w:jc w:val="both"/>
        <w:rPr>
          <w:sz w:val="25"/>
          <w:szCs w:val="25"/>
        </w:rPr>
      </w:pPr>
      <w:r>
        <w:rPr>
          <w:sz w:val="25"/>
          <w:szCs w:val="25"/>
        </w:rPr>
        <w:t>3.5.</w:t>
        <w:tab/>
        <w:t>Обеспечить сохранность комплекта ключей, предоставленных «Заказчиком».</w:t>
      </w:r>
    </w:p>
    <w:p>
      <w:pPr>
        <w:pStyle w:val="Normal"/>
        <w:shd w:val="clear" w:color="auto" w:fill="FFFFFF"/>
        <w:tabs>
          <w:tab w:val="clear" w:pos="708"/>
          <w:tab w:val="left" w:pos="1418" w:leader="none"/>
        </w:tabs>
        <w:ind w:firstLine="709"/>
        <w:jc w:val="both"/>
        <w:rPr>
          <w:sz w:val="25"/>
          <w:szCs w:val="25"/>
        </w:rPr>
      </w:pPr>
      <w:r>
        <w:rPr>
          <w:sz w:val="25"/>
          <w:szCs w:val="25"/>
        </w:rPr>
        <w:t>3.6.</w:t>
        <w:tab/>
        <w:t>При расторжении Договора возвратить «Заказчику» комплект ключей. Невостребованные «Заказчиком» (уполномоченным представителем «Заказчика») в течение 3 (трех) календарных месяцев ключи, уничтожить с обязательным составлением акта уничтожения.</w:t>
      </w:r>
    </w:p>
    <w:p>
      <w:pPr>
        <w:pStyle w:val="Normal"/>
        <w:shd w:val="clear" w:color="auto" w:fill="FFFFFF"/>
        <w:tabs>
          <w:tab w:val="clear" w:pos="708"/>
          <w:tab w:val="left" w:pos="1418" w:leader="none"/>
        </w:tabs>
        <w:ind w:firstLine="709"/>
        <w:jc w:val="both"/>
        <w:rPr>
          <w:sz w:val="25"/>
          <w:szCs w:val="25"/>
        </w:rPr>
      </w:pPr>
      <w:r>
        <w:rPr>
          <w:sz w:val="25"/>
          <w:szCs w:val="25"/>
        </w:rPr>
        <w:t>3.7.</w:t>
        <w:tab/>
        <w:t>Ознакомить «Заказчика» с требованиями предъявляемыми к инженерно-технической укрепленности «Объекта».</w:t>
      </w:r>
    </w:p>
    <w:p>
      <w:pPr>
        <w:pStyle w:val="Normal"/>
        <w:shd w:val="clear" w:color="auto" w:fill="FFFFFF"/>
        <w:tabs>
          <w:tab w:val="clear" w:pos="708"/>
          <w:tab w:val="left" w:pos="1418" w:leader="none"/>
        </w:tabs>
        <w:ind w:firstLine="709"/>
        <w:jc w:val="both"/>
        <w:rPr>
          <w:sz w:val="25"/>
          <w:szCs w:val="25"/>
        </w:rPr>
      </w:pPr>
      <w:r>
        <w:rPr>
          <w:spacing w:val="-2"/>
          <w:sz w:val="25"/>
          <w:szCs w:val="25"/>
        </w:rPr>
        <w:t>3.8.</w:t>
        <w:tab/>
        <w:t>При обнаружении неисп</w:t>
      </w:r>
      <w:r>
        <w:rPr>
          <w:color w:val="000000"/>
          <w:spacing w:val="-2"/>
          <w:sz w:val="25"/>
          <w:szCs w:val="25"/>
        </w:rPr>
        <w:t xml:space="preserve">равностей в функционировании ТСО </w:t>
      </w:r>
      <w:r>
        <w:rPr>
          <w:color w:val="000000"/>
          <w:spacing w:val="-5"/>
          <w:sz w:val="25"/>
          <w:szCs w:val="25"/>
        </w:rPr>
        <w:t xml:space="preserve">незамедлительно извещать «Заказчика» или члена его семьи, доверенное лицо, которые обязаны прибыть на «Объект». С момента уведомления «Заказчика» или члена его семьи, доверенного лица о неисправности ТСО, </w:t>
      </w:r>
      <w:r>
        <w:rPr>
          <w:iCs/>
          <w:spacing w:val="-5"/>
          <w:sz w:val="25"/>
          <w:szCs w:val="25"/>
        </w:rPr>
        <w:t xml:space="preserve">в случае отсутствия признаков проникновения (попытки проникновения), охрана «Объекта» прекращается. </w:t>
      </w:r>
      <w:r>
        <w:rPr>
          <w:iCs/>
          <w:spacing w:val="-1"/>
          <w:sz w:val="25"/>
          <w:szCs w:val="25"/>
        </w:rPr>
        <w:t>В данном случае «Исполнитель» материальной ответственности за находящееся на «Объекте» имущество, не несёт.</w:t>
      </w:r>
    </w:p>
    <w:p>
      <w:pPr>
        <w:pStyle w:val="Normal"/>
        <w:shd w:val="clear" w:color="auto" w:fill="FFFFFF"/>
        <w:tabs>
          <w:tab w:val="clear" w:pos="708"/>
          <w:tab w:val="left" w:pos="1418" w:leader="none"/>
        </w:tabs>
        <w:ind w:firstLine="709"/>
        <w:jc w:val="both"/>
        <w:rPr>
          <w:sz w:val="25"/>
          <w:szCs w:val="25"/>
        </w:rPr>
      </w:pPr>
      <w:r>
        <w:rPr>
          <w:sz w:val="25"/>
          <w:szCs w:val="25"/>
        </w:rPr>
        <w:t>3.9.</w:t>
        <w:tab/>
        <w:t>Информировать «Заказчика» об изменениях юридического адреса, расчетного счета или других реквизитов «Исполнителя», в том числе через средства массовой информации.</w:t>
      </w:r>
    </w:p>
    <w:p>
      <w:pPr>
        <w:pStyle w:val="Normal"/>
        <w:shd w:val="clear" w:color="auto" w:fill="FFFFFF"/>
        <w:tabs>
          <w:tab w:val="clear" w:pos="708"/>
          <w:tab w:val="left" w:pos="1418" w:leader="none"/>
        </w:tabs>
        <w:ind w:firstLine="709"/>
        <w:jc w:val="both"/>
        <w:rPr>
          <w:sz w:val="25"/>
          <w:szCs w:val="25"/>
        </w:rPr>
      </w:pPr>
      <w:r>
        <w:rPr>
          <w:sz w:val="25"/>
          <w:szCs w:val="25"/>
        </w:rPr>
        <w:t>3.10.</w:t>
        <w:tab/>
        <w:t>Известить «Заказчика» о</w:t>
      </w:r>
      <w:r>
        <w:rPr>
          <w:bCs/>
          <w:sz w:val="25"/>
          <w:szCs w:val="25"/>
        </w:rPr>
        <w:t xml:space="preserve"> необходимости проведения капитального ремонта ТСО или их замены, н</w:t>
      </w:r>
      <w:r>
        <w:rPr>
          <w:sz w:val="25"/>
          <w:szCs w:val="25"/>
        </w:rPr>
        <w:t>аправив</w:t>
      </w:r>
      <w:r>
        <w:rPr>
          <w:bCs/>
          <w:sz w:val="25"/>
          <w:szCs w:val="25"/>
        </w:rPr>
        <w:t xml:space="preserve"> требование о проведении капитального ремонта или замене ТСО в установленные сроки.</w:t>
      </w:r>
    </w:p>
    <w:p>
      <w:pPr>
        <w:pStyle w:val="Normal"/>
        <w:shd w:val="clear" w:color="auto" w:fill="FFFFFF"/>
        <w:tabs>
          <w:tab w:val="clear" w:pos="708"/>
          <w:tab w:val="left" w:pos="1418" w:leader="none"/>
        </w:tabs>
        <w:ind w:firstLine="709"/>
        <w:jc w:val="both"/>
        <w:rPr>
          <w:sz w:val="25"/>
          <w:szCs w:val="25"/>
        </w:rPr>
      </w:pPr>
      <w:r>
        <w:rPr>
          <w:sz w:val="25"/>
          <w:szCs w:val="25"/>
        </w:rPr>
        <w:t>3.11.</w:t>
        <w:tab/>
        <w:t>Принять оборудование в соответствии с актом приема-передачи (Приложение № 2) от «Заказчика» по окончании срока действия Договора или в случае досрочного расторжения Договора.</w:t>
      </w:r>
    </w:p>
    <w:p>
      <w:pPr>
        <w:pStyle w:val="Normal"/>
        <w:spacing w:before="500" w:after="0"/>
        <w:jc w:val="center"/>
        <w:rPr>
          <w:sz w:val="25"/>
          <w:szCs w:val="25"/>
        </w:rPr>
      </w:pPr>
      <w:r>
        <w:rPr>
          <w:b/>
          <w:bCs/>
          <w:sz w:val="25"/>
          <w:szCs w:val="25"/>
        </w:rPr>
        <w:t>4. ОБЯЗАННОСТИ «ЗАКАЗЧИКА»</w:t>
      </w:r>
    </w:p>
    <w:p>
      <w:pPr>
        <w:pStyle w:val="Normal"/>
        <w:shd w:val="clear" w:color="auto" w:fill="FFFFFF"/>
        <w:tabs>
          <w:tab w:val="clear" w:pos="708"/>
          <w:tab w:val="left" w:pos="1418" w:leader="none"/>
        </w:tabs>
        <w:ind w:firstLine="709"/>
        <w:jc w:val="both"/>
        <w:rPr>
          <w:sz w:val="25"/>
          <w:szCs w:val="25"/>
        </w:rPr>
      </w:pPr>
      <w:r>
        <w:rPr>
          <w:sz w:val="25"/>
          <w:szCs w:val="25"/>
        </w:rPr>
        <w:t>4.1.</w:t>
        <w:tab/>
        <w:t>Для оформления Договора предоставить «Исполнителю» документы, удостоверяющие личность, документ о праве собственности или владения (аренды, субаренды, пользования, управления) на имущество, исполнительскую и проектную документацию на ТСО. Сообщить данные (</w:t>
      </w:r>
      <w:r>
        <w:rPr>
          <w:color w:val="000000"/>
          <w:sz w:val="25"/>
          <w:szCs w:val="25"/>
        </w:rPr>
        <w:t>адрес проживания, мес</w:t>
      </w:r>
      <w:r>
        <w:rPr>
          <w:sz w:val="25"/>
          <w:szCs w:val="25"/>
        </w:rPr>
        <w:t>то работы и/или учебы, мобильные, домашние, служебные телефоны) о себе, членах семьи, доверенных лицах. Незамедлительно информировать «Исполнителя» обо всех изменениях этих данных.</w:t>
      </w:r>
    </w:p>
    <w:p>
      <w:pPr>
        <w:pStyle w:val="Normal"/>
        <w:shd w:val="clear" w:color="auto" w:fill="FFFFFF"/>
        <w:tabs>
          <w:tab w:val="clear" w:pos="708"/>
          <w:tab w:val="left" w:pos="1418" w:leader="none"/>
        </w:tabs>
        <w:ind w:firstLine="709"/>
        <w:jc w:val="both"/>
        <w:rPr>
          <w:sz w:val="25"/>
          <w:szCs w:val="25"/>
        </w:rPr>
      </w:pPr>
      <w:r>
        <w:rPr>
          <w:sz w:val="25"/>
          <w:szCs w:val="25"/>
        </w:rPr>
        <w:t>4.2.</w:t>
        <w:tab/>
        <w:t>Выполнять определенные «Исполнителем» и отражаемые в акте обследования мероприятия: по инженерно-технической укрепленности «Объекта»; оборудованию «Объекта» ТСО; соблюдению условий хранения материальных ценностей.</w:t>
      </w:r>
    </w:p>
    <w:p>
      <w:pPr>
        <w:pStyle w:val="Normal"/>
        <w:shd w:val="clear" w:color="auto" w:fill="FFFFFF"/>
        <w:tabs>
          <w:tab w:val="clear" w:pos="708"/>
          <w:tab w:val="left" w:pos="1418" w:leader="none"/>
        </w:tabs>
        <w:ind w:firstLine="709"/>
        <w:jc w:val="both"/>
        <w:rPr>
          <w:sz w:val="25"/>
          <w:szCs w:val="25"/>
        </w:rPr>
      </w:pPr>
      <w:r>
        <w:rPr>
          <w:sz w:val="25"/>
          <w:szCs w:val="25"/>
        </w:rPr>
        <w:t>4.3.</w:t>
        <w:tab/>
        <w:t>Обеспечивать «Исполнителю» возможность доступа во все помещения охраняемого «Объекта» для выяснения и устранения причин срабатывания ТСО, для чего сдать «Исполнителю» комплект ключей от «Объекта», входных дверей подъездов, холлов и сообщить их коды. При смене замков, кодов или утере ключей незамедлительно информировать об этом «Исполнителя» и проводить замену ключей.</w:t>
      </w:r>
    </w:p>
    <w:p>
      <w:pPr>
        <w:pStyle w:val="Normal"/>
        <w:shd w:val="clear" w:color="auto" w:fill="FFFFFF"/>
        <w:tabs>
          <w:tab w:val="clear" w:pos="708"/>
          <w:tab w:val="left" w:pos="1418" w:leader="none"/>
        </w:tabs>
        <w:ind w:firstLine="709"/>
        <w:jc w:val="both"/>
        <w:rPr>
          <w:sz w:val="25"/>
          <w:szCs w:val="25"/>
        </w:rPr>
      </w:pPr>
      <w:r>
        <w:rPr>
          <w:color w:val="000000"/>
          <w:spacing w:val="-4"/>
          <w:sz w:val="25"/>
          <w:szCs w:val="25"/>
        </w:rPr>
        <w:t>4.4.</w:t>
        <w:tab/>
      </w:r>
      <w:r>
        <w:rPr>
          <w:sz w:val="25"/>
          <w:szCs w:val="25"/>
        </w:rPr>
        <w:t>Строго</w:t>
      </w:r>
      <w:r>
        <w:rPr>
          <w:color w:val="000000"/>
          <w:spacing w:val="-4"/>
          <w:sz w:val="25"/>
          <w:szCs w:val="25"/>
        </w:rPr>
        <w:t xml:space="preserve"> соблюдать правила эксплуатации ТСО, не вносить изменения в </w:t>
      </w:r>
      <w:r>
        <w:rPr>
          <w:color w:val="000000"/>
          <w:spacing w:val="-5"/>
          <w:sz w:val="25"/>
          <w:szCs w:val="25"/>
        </w:rPr>
        <w:t>схему блокировки «Объекта», не производить замену ТСО без согласования с «Исполнителем». Сообщать «</w:t>
      </w:r>
      <w:r>
        <w:rPr>
          <w:sz w:val="25"/>
          <w:szCs w:val="25"/>
        </w:rPr>
        <w:t>Исполнителю</w:t>
      </w:r>
      <w:r>
        <w:rPr>
          <w:color w:val="000000"/>
          <w:spacing w:val="-5"/>
          <w:sz w:val="25"/>
          <w:szCs w:val="25"/>
        </w:rPr>
        <w:t>» о возникающих неисправностях ТСО.</w:t>
      </w:r>
      <w:r>
        <w:rPr>
          <w:color w:val="000000"/>
          <w:sz w:val="25"/>
          <w:szCs w:val="25"/>
        </w:rPr>
        <w:t xml:space="preserve"> </w:t>
      </w:r>
    </w:p>
    <w:p>
      <w:pPr>
        <w:pStyle w:val="Normal"/>
        <w:shd w:val="clear" w:color="auto" w:fill="FFFFFF"/>
        <w:tabs>
          <w:tab w:val="clear" w:pos="708"/>
          <w:tab w:val="left" w:pos="1418" w:leader="none"/>
        </w:tabs>
        <w:ind w:firstLine="709"/>
        <w:jc w:val="both"/>
        <w:rPr>
          <w:sz w:val="25"/>
          <w:szCs w:val="25"/>
        </w:rPr>
      </w:pPr>
      <w:r>
        <w:rPr>
          <w:color w:val="000000"/>
          <w:sz w:val="25"/>
          <w:szCs w:val="25"/>
        </w:rPr>
        <w:t>4.5.</w:t>
        <w:tab/>
        <w:t xml:space="preserve">Не </w:t>
      </w:r>
      <w:r>
        <w:rPr>
          <w:sz w:val="25"/>
          <w:szCs w:val="25"/>
        </w:rPr>
        <w:t>допускать</w:t>
      </w:r>
      <w:r>
        <w:rPr>
          <w:color w:val="000000"/>
          <w:sz w:val="25"/>
          <w:szCs w:val="25"/>
        </w:rPr>
        <w:t xml:space="preserve"> к ТСО для устранения неисправностей, внесений изменений в схему блокировки «Объекта» посторонних лиц, кроме представителей обслуживающей организации с которой заключен договор.</w:t>
      </w:r>
    </w:p>
    <w:p>
      <w:pPr>
        <w:pStyle w:val="Normal"/>
        <w:shd w:val="clear" w:color="auto" w:fill="FFFFFF"/>
        <w:tabs>
          <w:tab w:val="clear" w:pos="708"/>
          <w:tab w:val="left" w:pos="1418" w:leader="none"/>
        </w:tabs>
        <w:ind w:firstLine="709"/>
        <w:jc w:val="both"/>
        <w:rPr>
          <w:sz w:val="25"/>
          <w:szCs w:val="25"/>
        </w:rPr>
      </w:pPr>
      <w:r>
        <w:rPr>
          <w:color w:val="000000"/>
          <w:spacing w:val="-3"/>
          <w:sz w:val="25"/>
          <w:szCs w:val="25"/>
        </w:rPr>
        <w:t>4.6.</w:t>
        <w:tab/>
      </w:r>
      <w:r>
        <w:rPr>
          <w:sz w:val="25"/>
          <w:szCs w:val="25"/>
        </w:rPr>
        <w:t>Тщательно</w:t>
      </w:r>
      <w:r>
        <w:rPr>
          <w:color w:val="000000"/>
          <w:spacing w:val="-3"/>
          <w:sz w:val="25"/>
          <w:szCs w:val="25"/>
        </w:rPr>
        <w:t xml:space="preserve"> закрывать перед сдачей «Объекта» под охрану окна, форточки, двери, </w:t>
      </w:r>
      <w:r>
        <w:rPr>
          <w:color w:val="000000"/>
          <w:spacing w:val="-4"/>
          <w:sz w:val="25"/>
          <w:szCs w:val="25"/>
        </w:rPr>
        <w:t>исключающие их самопроизвольное открывание. Постоянно поддерживать их в исправном состоянии.</w:t>
      </w:r>
    </w:p>
    <w:p>
      <w:pPr>
        <w:pStyle w:val="Normal"/>
        <w:shd w:val="clear" w:color="auto" w:fill="FFFFFF"/>
        <w:tabs>
          <w:tab w:val="clear" w:pos="708"/>
          <w:tab w:val="left" w:pos="1418" w:leader="none"/>
        </w:tabs>
        <w:ind w:firstLine="709"/>
        <w:jc w:val="both"/>
        <w:rPr>
          <w:sz w:val="25"/>
          <w:szCs w:val="25"/>
        </w:rPr>
      </w:pPr>
      <w:r>
        <w:rPr>
          <w:color w:val="000000"/>
          <w:spacing w:val="-6"/>
          <w:sz w:val="25"/>
          <w:szCs w:val="25"/>
        </w:rPr>
        <w:t>4.7.</w:t>
        <w:tab/>
        <w:t>Перед сдачей «Объекта» под охрану производить проверку работоспособности ТСО</w:t>
      </w:r>
      <w:r>
        <w:rPr>
          <w:color w:val="000000"/>
          <w:spacing w:val="-5"/>
          <w:sz w:val="25"/>
          <w:szCs w:val="25"/>
        </w:rPr>
        <w:t xml:space="preserve"> путем пробной </w:t>
      </w:r>
      <w:r>
        <w:rPr>
          <w:sz w:val="25"/>
          <w:szCs w:val="25"/>
        </w:rPr>
        <w:t>сдачи</w:t>
      </w:r>
      <w:r>
        <w:rPr>
          <w:color w:val="000000"/>
          <w:spacing w:val="-5"/>
          <w:sz w:val="25"/>
          <w:szCs w:val="25"/>
        </w:rPr>
        <w:t xml:space="preserve"> «Объекта» под охрану, в следующих случаях:</w:t>
      </w:r>
    </w:p>
    <w:p>
      <w:pPr>
        <w:pStyle w:val="Normal"/>
        <w:shd w:val="clear" w:color="auto" w:fill="FFFFFF"/>
        <w:tabs>
          <w:tab w:val="clear" w:pos="708"/>
          <w:tab w:val="left" w:pos="1418" w:leader="none"/>
        </w:tabs>
        <w:ind w:firstLine="709"/>
        <w:jc w:val="both"/>
        <w:rPr>
          <w:sz w:val="25"/>
          <w:szCs w:val="25"/>
        </w:rPr>
      </w:pPr>
      <w:r>
        <w:rPr>
          <w:color w:val="000000"/>
          <w:spacing w:val="-5"/>
          <w:sz w:val="25"/>
          <w:szCs w:val="25"/>
        </w:rPr>
        <w:t>4.7.1.</w:t>
        <w:tab/>
        <w:t xml:space="preserve">Если </w:t>
      </w:r>
      <w:r>
        <w:rPr>
          <w:sz w:val="25"/>
          <w:szCs w:val="25"/>
        </w:rPr>
        <w:t>сдача «Объекта» под охрану не проводилась 5 и более дней.</w:t>
      </w:r>
    </w:p>
    <w:p>
      <w:pPr>
        <w:pStyle w:val="Normal"/>
        <w:shd w:val="clear" w:color="auto" w:fill="FFFFFF"/>
        <w:tabs>
          <w:tab w:val="clear" w:pos="708"/>
          <w:tab w:val="left" w:pos="1418" w:leader="none"/>
        </w:tabs>
        <w:ind w:firstLine="709"/>
        <w:jc w:val="both"/>
        <w:rPr>
          <w:sz w:val="25"/>
          <w:szCs w:val="25"/>
        </w:rPr>
      </w:pPr>
      <w:r>
        <w:rPr>
          <w:sz w:val="25"/>
          <w:szCs w:val="25"/>
        </w:rPr>
        <w:t>4.7.2.</w:t>
        <w:tab/>
        <w:t>Если «Объект» сдается под охрану на срок более 1 суток.</w:t>
      </w:r>
    </w:p>
    <w:p>
      <w:pPr>
        <w:pStyle w:val="Normal"/>
        <w:shd w:val="clear" w:color="auto" w:fill="FFFFFF"/>
        <w:tabs>
          <w:tab w:val="clear" w:pos="708"/>
          <w:tab w:val="left" w:pos="1418" w:leader="none"/>
        </w:tabs>
        <w:ind w:firstLine="709"/>
        <w:jc w:val="both"/>
        <w:rPr>
          <w:sz w:val="25"/>
          <w:szCs w:val="25"/>
        </w:rPr>
      </w:pPr>
      <w:r>
        <w:rPr>
          <w:sz w:val="25"/>
          <w:szCs w:val="25"/>
        </w:rPr>
        <w:t>4.8.</w:t>
        <w:tab/>
        <w:t>При сдаче «Объекта» на длительный срок (более 1 суток), через 15 минут после сдачи «Объекта» под охрану позвонить на ПЦО «Исполнителя» и удостовериться в том, что «Объект» под охрану принят.</w:t>
      </w:r>
    </w:p>
    <w:p>
      <w:pPr>
        <w:pStyle w:val="Normal"/>
        <w:shd w:val="clear" w:color="auto" w:fill="FFFFFF"/>
        <w:tabs>
          <w:tab w:val="clear" w:pos="708"/>
          <w:tab w:val="left" w:pos="1418" w:leader="none"/>
        </w:tabs>
        <w:ind w:firstLine="709"/>
        <w:jc w:val="both"/>
        <w:rPr>
          <w:sz w:val="25"/>
          <w:szCs w:val="25"/>
        </w:rPr>
      </w:pPr>
      <w:r>
        <w:rPr>
          <w:color w:val="000000"/>
          <w:sz w:val="25"/>
          <w:szCs w:val="25"/>
        </w:rPr>
        <w:t>4.9.</w:t>
        <w:tab/>
      </w:r>
      <w:r>
        <w:rPr>
          <w:sz w:val="25"/>
          <w:szCs w:val="25"/>
        </w:rPr>
        <w:t>Обеспечить</w:t>
      </w:r>
      <w:r>
        <w:rPr>
          <w:color w:val="000000"/>
          <w:sz w:val="25"/>
          <w:szCs w:val="25"/>
        </w:rPr>
        <w:t xml:space="preserve"> на «Объекте» исправность каналов связи сотовых операторов связи (интернет провайдеров) и сети электропитания, к которым подключены ТСО; работоспособность </w:t>
      </w:r>
      <w:r>
        <w:rPr>
          <w:color w:val="000000"/>
          <w:sz w:val="25"/>
          <w:szCs w:val="25"/>
          <w:lang w:val="en-US"/>
        </w:rPr>
        <w:t>SIM</w:t>
      </w:r>
      <w:r>
        <w:rPr>
          <w:color w:val="000000"/>
          <w:sz w:val="25"/>
          <w:szCs w:val="25"/>
        </w:rPr>
        <w:t xml:space="preserve">-карты и наличие на </w:t>
      </w:r>
      <w:r>
        <w:rPr>
          <w:color w:val="000000"/>
          <w:sz w:val="25"/>
          <w:szCs w:val="25"/>
          <w:lang w:val="en-US"/>
        </w:rPr>
        <w:t>SIM</w:t>
      </w:r>
      <w:r>
        <w:rPr>
          <w:color w:val="000000"/>
          <w:sz w:val="25"/>
          <w:szCs w:val="25"/>
        </w:rPr>
        <w:t>-карте денежных средств.</w:t>
      </w:r>
    </w:p>
    <w:p>
      <w:pPr>
        <w:pStyle w:val="Normal"/>
        <w:shd w:val="clear" w:color="auto" w:fill="FFFFFF"/>
        <w:tabs>
          <w:tab w:val="clear" w:pos="708"/>
          <w:tab w:val="left" w:pos="1418" w:leader="none"/>
        </w:tabs>
        <w:ind w:firstLine="709"/>
        <w:jc w:val="both"/>
        <w:rPr>
          <w:sz w:val="25"/>
          <w:szCs w:val="25"/>
        </w:rPr>
      </w:pPr>
      <w:r>
        <w:rPr>
          <w:color w:val="000000"/>
          <w:sz w:val="25"/>
          <w:szCs w:val="25"/>
        </w:rPr>
        <w:t>4.10.</w:t>
        <w:tab/>
        <w:t>Своевременно вносить абонентскую плату за услуги «</w:t>
      </w:r>
      <w:r>
        <w:rPr>
          <w:sz w:val="25"/>
          <w:szCs w:val="25"/>
        </w:rPr>
        <w:t>Исполнителя</w:t>
      </w:r>
      <w:r>
        <w:rPr>
          <w:color w:val="000000"/>
          <w:sz w:val="25"/>
          <w:szCs w:val="25"/>
        </w:rPr>
        <w:t xml:space="preserve">» в </w:t>
      </w:r>
      <w:r>
        <w:rPr>
          <w:sz w:val="25"/>
          <w:szCs w:val="25"/>
        </w:rPr>
        <w:t>установленный пунктом 10.2 настоящего Договора срок.</w:t>
      </w:r>
    </w:p>
    <w:p>
      <w:pPr>
        <w:pStyle w:val="Normal"/>
        <w:shd w:val="clear" w:color="auto" w:fill="FFFFFF"/>
        <w:tabs>
          <w:tab w:val="clear" w:pos="708"/>
          <w:tab w:val="left" w:pos="1418" w:leader="none"/>
        </w:tabs>
        <w:ind w:firstLine="709"/>
        <w:jc w:val="both"/>
        <w:rPr>
          <w:sz w:val="25"/>
          <w:szCs w:val="25"/>
        </w:rPr>
      </w:pPr>
      <w:r>
        <w:rPr>
          <w:color w:val="000000"/>
          <w:sz w:val="25"/>
          <w:szCs w:val="25"/>
        </w:rPr>
        <w:t>4.11.</w:t>
        <w:tab/>
        <w:t>Для возобновления оказания услуг «</w:t>
      </w:r>
      <w:r>
        <w:rPr>
          <w:sz w:val="25"/>
          <w:szCs w:val="25"/>
        </w:rPr>
        <w:t>Исполнителя</w:t>
      </w:r>
      <w:r>
        <w:rPr>
          <w:color w:val="000000"/>
          <w:sz w:val="25"/>
          <w:szCs w:val="25"/>
        </w:rPr>
        <w:t>» сообщать на ПЦО «</w:t>
      </w:r>
      <w:r>
        <w:rPr>
          <w:sz w:val="25"/>
          <w:szCs w:val="25"/>
        </w:rPr>
        <w:t>Исполнителя</w:t>
      </w:r>
      <w:r>
        <w:rPr>
          <w:color w:val="000000"/>
          <w:sz w:val="25"/>
          <w:szCs w:val="25"/>
        </w:rPr>
        <w:t>» о ликвидации задолженности по оплате услуг охраны, с предъявлением копии платежного документа по требованию «</w:t>
      </w:r>
      <w:r>
        <w:rPr>
          <w:sz w:val="25"/>
          <w:szCs w:val="25"/>
        </w:rPr>
        <w:t>Исполнителя</w:t>
      </w:r>
      <w:r>
        <w:rPr>
          <w:color w:val="000000"/>
          <w:sz w:val="25"/>
          <w:szCs w:val="25"/>
        </w:rPr>
        <w:t>». С момента уведомления «</w:t>
      </w:r>
      <w:r>
        <w:rPr>
          <w:sz w:val="25"/>
          <w:szCs w:val="25"/>
        </w:rPr>
        <w:t>Исполнитель</w:t>
      </w:r>
      <w:r>
        <w:rPr>
          <w:color w:val="000000"/>
          <w:sz w:val="25"/>
          <w:szCs w:val="25"/>
        </w:rPr>
        <w:t>» в течение суток возобновляет оказание услуг охраны.</w:t>
      </w:r>
    </w:p>
    <w:p>
      <w:pPr>
        <w:pStyle w:val="Normal"/>
        <w:shd w:val="clear" w:color="auto" w:fill="FFFFFF"/>
        <w:tabs>
          <w:tab w:val="clear" w:pos="708"/>
          <w:tab w:val="left" w:pos="1418" w:leader="none"/>
        </w:tabs>
        <w:ind w:firstLine="709"/>
        <w:jc w:val="both"/>
        <w:rPr>
          <w:sz w:val="25"/>
          <w:szCs w:val="25"/>
        </w:rPr>
      </w:pPr>
      <w:r>
        <w:rPr>
          <w:sz w:val="25"/>
          <w:szCs w:val="25"/>
        </w:rPr>
        <w:t>4.12.</w:t>
        <w:tab/>
        <w:t>Возмещать «Исполнителю» расходы за ложный выезд ГЗ на охраняемый «Объект» по вине «Заказчика</w:t>
      </w:r>
      <w:r>
        <w:rPr>
          <w:color w:val="000000"/>
          <w:spacing w:val="-5"/>
          <w:sz w:val="25"/>
          <w:szCs w:val="25"/>
        </w:rPr>
        <w:t>»</w:t>
      </w:r>
      <w:r>
        <w:rPr>
          <w:sz w:val="25"/>
          <w:szCs w:val="25"/>
        </w:rPr>
        <w:t xml:space="preserve">. </w:t>
      </w:r>
    </w:p>
    <w:p>
      <w:pPr>
        <w:pStyle w:val="Normal"/>
        <w:shd w:val="clear" w:color="auto" w:fill="FFFFFF"/>
        <w:tabs>
          <w:tab w:val="clear" w:pos="708"/>
          <w:tab w:val="left" w:pos="1418" w:leader="none"/>
        </w:tabs>
        <w:ind w:firstLine="709"/>
        <w:jc w:val="both"/>
        <w:rPr>
          <w:sz w:val="25"/>
          <w:szCs w:val="25"/>
        </w:rPr>
      </w:pPr>
      <w:r>
        <w:rPr>
          <w:sz w:val="25"/>
          <w:szCs w:val="25"/>
        </w:rPr>
        <w:t>4.13.</w:t>
        <w:tab/>
        <w:t>Для исключения «ложных срабатываний» ТСО, при необходимости производить дератизацию, дезинсекцию «Объекта».</w:t>
      </w:r>
    </w:p>
    <w:p>
      <w:pPr>
        <w:pStyle w:val="Normal"/>
        <w:shd w:val="clear" w:color="auto" w:fill="FFFFFF"/>
        <w:tabs>
          <w:tab w:val="clear" w:pos="708"/>
          <w:tab w:val="left" w:pos="1418" w:leader="none"/>
        </w:tabs>
        <w:ind w:firstLine="709"/>
        <w:jc w:val="both"/>
        <w:rPr>
          <w:sz w:val="25"/>
          <w:szCs w:val="25"/>
        </w:rPr>
      </w:pPr>
      <w:r>
        <w:rPr>
          <w:sz w:val="25"/>
          <w:szCs w:val="25"/>
        </w:rPr>
        <w:t>4.14.</w:t>
        <w:tab/>
        <w:t xml:space="preserve">Денежные средства, оружие, уникальные художественные, культурные и культовые ценности, изделия с драгоценными камнями, из драгоценных металлов, хранить не в легко доступных местах, а в технически укрепленных, специально оборудованных помещениях либо в сейфах, прикрепленных к полу. </w:t>
      </w:r>
    </w:p>
    <w:p>
      <w:pPr>
        <w:pStyle w:val="Normal"/>
        <w:shd w:val="clear" w:color="auto" w:fill="FFFFFF"/>
        <w:tabs>
          <w:tab w:val="clear" w:pos="708"/>
          <w:tab w:val="left" w:pos="1418" w:leader="none"/>
        </w:tabs>
        <w:ind w:firstLine="709"/>
        <w:jc w:val="both"/>
        <w:rPr>
          <w:sz w:val="25"/>
          <w:szCs w:val="25"/>
        </w:rPr>
      </w:pPr>
      <w:r>
        <w:rPr>
          <w:sz w:val="25"/>
          <w:szCs w:val="25"/>
        </w:rPr>
        <w:t>4.15.</w:t>
        <w:tab/>
        <w:t>Не разглашать посторонним лицам принципы работы ТСО, а также присвоенные пультовые номера. Категорически запрещается передавать индивидуальный электронный ключ другим лицам или сообщать индивидуальный код (шифр), пароль.</w:t>
      </w:r>
    </w:p>
    <w:p>
      <w:pPr>
        <w:pStyle w:val="Normal"/>
        <w:shd w:val="clear" w:color="auto" w:fill="FFFFFF"/>
        <w:tabs>
          <w:tab w:val="clear" w:pos="708"/>
          <w:tab w:val="left" w:pos="1418" w:leader="none"/>
        </w:tabs>
        <w:ind w:firstLine="709"/>
        <w:jc w:val="both"/>
        <w:rPr>
          <w:sz w:val="25"/>
          <w:szCs w:val="25"/>
        </w:rPr>
      </w:pPr>
      <w:r>
        <w:rPr>
          <w:color w:val="000000"/>
          <w:sz w:val="25"/>
          <w:szCs w:val="25"/>
        </w:rPr>
        <w:t>4.16.</w:t>
        <w:tab/>
        <w:t xml:space="preserve">При </w:t>
      </w:r>
      <w:r>
        <w:rPr>
          <w:sz w:val="25"/>
          <w:szCs w:val="25"/>
        </w:rPr>
        <w:t>обнаружении</w:t>
      </w:r>
      <w:r>
        <w:rPr>
          <w:color w:val="000000"/>
          <w:sz w:val="25"/>
          <w:szCs w:val="25"/>
        </w:rPr>
        <w:t xml:space="preserve"> нарушения целостности «Объекта», факта кражи, уничтожения   или повреждения имущества в результате проникновения на «Объект» посторонних лиц, сообщить об этом «</w:t>
      </w:r>
      <w:r>
        <w:rPr>
          <w:sz w:val="25"/>
          <w:szCs w:val="25"/>
        </w:rPr>
        <w:t>Исполнителю</w:t>
      </w:r>
      <w:r>
        <w:rPr>
          <w:color w:val="000000"/>
          <w:sz w:val="25"/>
          <w:szCs w:val="25"/>
        </w:rPr>
        <w:t>». До прибытия представителей «</w:t>
      </w:r>
      <w:r>
        <w:rPr>
          <w:sz w:val="25"/>
          <w:szCs w:val="25"/>
        </w:rPr>
        <w:t>Исполнителя</w:t>
      </w:r>
      <w:r>
        <w:rPr>
          <w:color w:val="000000"/>
          <w:sz w:val="25"/>
          <w:szCs w:val="25"/>
        </w:rPr>
        <w:t>» обеспечить неприкосновенность места происшествия, не вскрывать «Объект», в котором нарушена целостность охраняемых помещений без представителя «</w:t>
      </w:r>
      <w:r>
        <w:rPr>
          <w:sz w:val="25"/>
          <w:szCs w:val="25"/>
        </w:rPr>
        <w:t>Исполнителя</w:t>
      </w:r>
      <w:r>
        <w:rPr>
          <w:color w:val="000000"/>
          <w:sz w:val="25"/>
          <w:szCs w:val="25"/>
        </w:rPr>
        <w:t xml:space="preserve">». </w:t>
      </w:r>
    </w:p>
    <w:p>
      <w:pPr>
        <w:pStyle w:val="Normal"/>
        <w:shd w:val="clear" w:color="auto" w:fill="FFFFFF"/>
        <w:tabs>
          <w:tab w:val="clear" w:pos="708"/>
          <w:tab w:val="left" w:pos="1418" w:leader="none"/>
        </w:tabs>
        <w:ind w:firstLine="709"/>
        <w:jc w:val="both"/>
        <w:rPr>
          <w:sz w:val="25"/>
          <w:szCs w:val="25"/>
        </w:rPr>
      </w:pPr>
      <w:r>
        <w:rPr>
          <w:sz w:val="25"/>
          <w:szCs w:val="25"/>
        </w:rPr>
        <w:t>4.17.</w:t>
        <w:tab/>
        <w:t xml:space="preserve">В случаях расторжения настоящего Договора, в течение 3 дней возвращать ТСО являющиеся собственностью «Исполнителя» и ранее переданные «Заказчику» во временное пользование для реализации целей настоящего Договора.   </w:t>
      </w:r>
    </w:p>
    <w:p>
      <w:pPr>
        <w:pStyle w:val="Normal"/>
        <w:shd w:val="clear" w:color="auto" w:fill="FFFFFF"/>
        <w:tabs>
          <w:tab w:val="clear" w:pos="708"/>
          <w:tab w:val="left" w:pos="1418" w:leader="none"/>
        </w:tabs>
        <w:ind w:firstLine="709"/>
        <w:jc w:val="both"/>
        <w:rPr>
          <w:sz w:val="25"/>
          <w:szCs w:val="25"/>
        </w:rPr>
      </w:pPr>
      <w:r>
        <w:rPr>
          <w:color w:val="000000"/>
          <w:spacing w:val="-4"/>
          <w:sz w:val="25"/>
          <w:szCs w:val="25"/>
        </w:rPr>
        <w:t>4.18.</w:t>
        <w:tab/>
        <w:t xml:space="preserve">При заключении Договора ознакомить членов семьи и доверенных лиц с условиями настоящего </w:t>
      </w:r>
      <w:r>
        <w:rPr>
          <w:sz w:val="25"/>
          <w:szCs w:val="25"/>
        </w:rPr>
        <w:t>Договора</w:t>
      </w:r>
      <w:r>
        <w:rPr>
          <w:color w:val="000000"/>
          <w:spacing w:val="-8"/>
          <w:sz w:val="25"/>
          <w:szCs w:val="25"/>
        </w:rPr>
        <w:t>.</w:t>
      </w:r>
    </w:p>
    <w:p>
      <w:pPr>
        <w:pStyle w:val="Normal"/>
        <w:shd w:val="clear" w:color="auto" w:fill="FFFFFF"/>
        <w:tabs>
          <w:tab w:val="clear" w:pos="708"/>
          <w:tab w:val="left" w:pos="1418" w:leader="none"/>
        </w:tabs>
        <w:ind w:firstLine="709"/>
        <w:jc w:val="both"/>
        <w:rPr>
          <w:sz w:val="25"/>
          <w:szCs w:val="25"/>
        </w:rPr>
      </w:pPr>
      <w:r>
        <w:rPr>
          <w:spacing w:val="-8"/>
          <w:sz w:val="25"/>
          <w:szCs w:val="25"/>
        </w:rPr>
        <w:t>4.19.</w:t>
        <w:tab/>
        <w:t xml:space="preserve">При </w:t>
      </w:r>
      <w:r>
        <w:rPr>
          <w:sz w:val="25"/>
          <w:szCs w:val="25"/>
        </w:rPr>
        <w:t>временном</w:t>
      </w:r>
      <w:r>
        <w:rPr>
          <w:spacing w:val="-8"/>
          <w:sz w:val="25"/>
          <w:szCs w:val="25"/>
        </w:rPr>
        <w:t xml:space="preserve"> отсутствии «Заказчика» на территории региона, исключающем возможность своевременной оплаты услуг «</w:t>
      </w:r>
      <w:r>
        <w:rPr>
          <w:sz w:val="25"/>
          <w:szCs w:val="25"/>
        </w:rPr>
        <w:t>Исполнителя</w:t>
      </w:r>
      <w:r>
        <w:rPr>
          <w:spacing w:val="-8"/>
          <w:sz w:val="25"/>
          <w:szCs w:val="25"/>
        </w:rPr>
        <w:t>», вносить абонентскую плату за услуги «</w:t>
      </w:r>
      <w:r>
        <w:rPr>
          <w:sz w:val="25"/>
          <w:szCs w:val="25"/>
        </w:rPr>
        <w:t>Исполнителя</w:t>
      </w:r>
      <w:r>
        <w:rPr>
          <w:spacing w:val="-8"/>
          <w:sz w:val="25"/>
          <w:szCs w:val="25"/>
        </w:rPr>
        <w:t>» авансом на весь срок охраны «Объекта».</w:t>
      </w:r>
    </w:p>
    <w:p>
      <w:pPr>
        <w:pStyle w:val="Normal"/>
        <w:shd w:val="clear" w:color="auto" w:fill="FFFFFF"/>
        <w:tabs>
          <w:tab w:val="clear" w:pos="708"/>
          <w:tab w:val="left" w:pos="1418" w:leader="none"/>
        </w:tabs>
        <w:ind w:firstLine="709"/>
        <w:jc w:val="both"/>
        <w:rPr>
          <w:sz w:val="25"/>
          <w:szCs w:val="25"/>
        </w:rPr>
      </w:pPr>
      <w:r>
        <w:rPr>
          <w:sz w:val="25"/>
          <w:szCs w:val="25"/>
        </w:rPr>
        <w:t>4.20.</w:t>
        <w:tab/>
        <w:t xml:space="preserve">По причинам и в сроки, указанные «Исполнителем», произвести замену ТСО, в связи с истечением срока эксплуатации и (или) модернизацией систем централизованного наблюдения, переносом или переустройством линий связи и сооружений связи, переключением абонентского номера, реконструкцией, модернизацией существующих и строительством новых объектов связи. </w:t>
      </w:r>
    </w:p>
    <w:p>
      <w:pPr>
        <w:pStyle w:val="Normal"/>
        <w:shd w:val="clear" w:color="auto" w:fill="FFFFFF"/>
        <w:tabs>
          <w:tab w:val="clear" w:pos="708"/>
          <w:tab w:val="left" w:pos="1418" w:leader="none"/>
        </w:tabs>
        <w:ind w:firstLine="709"/>
        <w:jc w:val="both"/>
        <w:rPr>
          <w:sz w:val="25"/>
          <w:szCs w:val="25"/>
        </w:rPr>
      </w:pPr>
      <w:r>
        <w:rPr>
          <w:sz w:val="25"/>
          <w:szCs w:val="25"/>
        </w:rPr>
        <w:t>4.21.</w:t>
        <w:tab/>
        <w:t>Незамедлительно известить «Исполнителя» об изменении оператора связи (интернет провайдера) и сообщить наименование нового оператора связи (интернет провайдера) «Исполнителю» для принятия мер и решения вопроса о дальнейшей возможности осуществления охраны.</w:t>
      </w:r>
    </w:p>
    <w:p>
      <w:pPr>
        <w:pStyle w:val="Normal"/>
        <w:shd w:val="clear" w:color="auto" w:fill="FFFFFF"/>
        <w:tabs>
          <w:tab w:val="clear" w:pos="708"/>
          <w:tab w:val="left" w:pos="1418" w:leader="none"/>
        </w:tabs>
        <w:ind w:firstLine="709"/>
        <w:jc w:val="both"/>
        <w:rPr>
          <w:sz w:val="25"/>
          <w:szCs w:val="25"/>
        </w:rPr>
      </w:pPr>
      <w:r>
        <w:rPr>
          <w:sz w:val="25"/>
          <w:szCs w:val="25"/>
        </w:rPr>
        <w:t>4.22.</w:t>
        <w:tab/>
        <w:t>Немедленно информировать «Исполнителя» о случаях утери ключей от охраняемого «Объекта».</w:t>
      </w:r>
    </w:p>
    <w:p>
      <w:pPr>
        <w:pStyle w:val="Normal"/>
        <w:shd w:val="clear" w:color="auto" w:fill="FFFFFF"/>
        <w:tabs>
          <w:tab w:val="clear" w:pos="708"/>
          <w:tab w:val="left" w:pos="1418" w:leader="none"/>
        </w:tabs>
        <w:ind w:firstLine="709"/>
        <w:jc w:val="both"/>
        <w:rPr>
          <w:sz w:val="25"/>
          <w:szCs w:val="25"/>
        </w:rPr>
      </w:pPr>
      <w:r>
        <w:rPr>
          <w:sz w:val="25"/>
          <w:szCs w:val="25"/>
        </w:rPr>
        <w:t>4.2</w:t>
      </w:r>
      <w:r>
        <w:rPr>
          <w:color w:val="000000"/>
          <w:sz w:val="25"/>
          <w:szCs w:val="25"/>
        </w:rPr>
        <w:t>3</w:t>
      </w:r>
      <w:r>
        <w:rPr>
          <w:sz w:val="25"/>
          <w:szCs w:val="25"/>
        </w:rPr>
        <w:t>.</w:t>
        <w:tab/>
        <w:t xml:space="preserve">Заблаговременно (не менее чем за 10 дней) сообщать «Исполнителю» о конструктивных изменениях, перепланировках «Объекта». </w:t>
      </w:r>
    </w:p>
    <w:p>
      <w:pPr>
        <w:pStyle w:val="13"/>
        <w:widowControl w:val="false"/>
        <w:shd w:val="clear" w:color="auto" w:fill="FFFFFF"/>
        <w:tabs>
          <w:tab w:val="clear" w:pos="708"/>
          <w:tab w:val="left" w:pos="1418" w:leader="none"/>
        </w:tabs>
        <w:ind w:firstLine="709"/>
        <w:jc w:val="both"/>
        <w:rPr>
          <w:sz w:val="25"/>
          <w:szCs w:val="25"/>
        </w:rPr>
      </w:pPr>
      <w:r>
        <w:rPr>
          <w:b w:val="false"/>
          <w:sz w:val="25"/>
          <w:szCs w:val="25"/>
        </w:rPr>
        <w:t>4.24.</w:t>
        <w:tab/>
        <w:t>Не перекрывать зоны обнаружения извещателей.</w:t>
      </w:r>
    </w:p>
    <w:p>
      <w:pPr>
        <w:pStyle w:val="Normal"/>
        <w:shd w:val="clear" w:color="auto" w:fill="FFFFFF"/>
        <w:tabs>
          <w:tab w:val="clear" w:pos="708"/>
          <w:tab w:val="left" w:pos="1418" w:leader="none"/>
        </w:tabs>
        <w:ind w:firstLine="709"/>
        <w:jc w:val="both"/>
        <w:rPr>
          <w:sz w:val="25"/>
          <w:szCs w:val="25"/>
        </w:rPr>
      </w:pPr>
      <w:r>
        <w:rPr>
          <w:sz w:val="25"/>
          <w:szCs w:val="25"/>
        </w:rPr>
        <w:t>4.25.</w:t>
        <w:tab/>
        <w:t>В течение 1 дня с момента подписания договора с организацией, осуществляющей техническое обслуживание ТСО, установленных на «Объекте», уведомить об этом «Исполнителя», предоставив всю информацию об указанной организации. В случае не уведомления и/или отсутствия указанного договора у «Заказчика», «Исполнитель» освобождается от всех видов ответственности по настоящему Договору.</w:t>
      </w:r>
    </w:p>
    <w:p>
      <w:pPr>
        <w:pStyle w:val="Normal"/>
        <w:shd w:val="clear" w:color="auto" w:fill="FFFFFF"/>
        <w:tabs>
          <w:tab w:val="clear" w:pos="708"/>
          <w:tab w:val="left" w:pos="1418" w:leader="none"/>
        </w:tabs>
        <w:ind w:firstLine="709"/>
        <w:jc w:val="both"/>
        <w:rPr>
          <w:sz w:val="25"/>
          <w:szCs w:val="25"/>
        </w:rPr>
      </w:pPr>
      <w:r>
        <w:rPr>
          <w:sz w:val="25"/>
          <w:szCs w:val="25"/>
        </w:rPr>
        <w:t>4.26.</w:t>
        <w:tab/>
        <w:t>При расторжении договора с обслуживающей организацией уведомить «Исполнителя» в течение 5 рабочих дней.</w:t>
      </w:r>
    </w:p>
    <w:p>
      <w:pPr>
        <w:pStyle w:val="Normal"/>
        <w:shd w:val="clear" w:color="auto" w:fill="FFFFFF"/>
        <w:tabs>
          <w:tab w:val="clear" w:pos="708"/>
          <w:tab w:val="left" w:pos="1418" w:leader="none"/>
        </w:tabs>
        <w:ind w:firstLine="709"/>
        <w:jc w:val="both"/>
        <w:rPr>
          <w:sz w:val="25"/>
          <w:szCs w:val="25"/>
        </w:rPr>
      </w:pPr>
      <w:r>
        <w:rPr>
          <w:sz w:val="25"/>
          <w:szCs w:val="25"/>
        </w:rPr>
        <w:t>4.27.</w:t>
        <w:tab/>
        <w:t>Принимать участие в комиссионном обследовании технического состояния ТСО и выполнять предписанные соответствующим актом мероприятия по инженерно-технической укрепленности «Объекта», капитальному ремонту ТСО.</w:t>
      </w:r>
    </w:p>
    <w:p>
      <w:pPr>
        <w:pStyle w:val="Normal"/>
        <w:shd w:val="clear" w:color="auto" w:fill="FFFFFF"/>
        <w:tabs>
          <w:tab w:val="clear" w:pos="708"/>
          <w:tab w:val="left" w:pos="1418" w:leader="none"/>
        </w:tabs>
        <w:ind w:firstLine="709"/>
        <w:jc w:val="both"/>
        <w:rPr>
          <w:sz w:val="25"/>
          <w:szCs w:val="25"/>
        </w:rPr>
      </w:pPr>
      <w:r>
        <w:rPr>
          <w:sz w:val="25"/>
          <w:szCs w:val="25"/>
        </w:rPr>
        <w:t>4.28.</w:t>
        <w:tab/>
        <w:t xml:space="preserve">При невозможности сдать «Объект» под охрану из-за отключения электропитания, неисправности линии связи, сети интернет, неисправности или блокировки </w:t>
      </w:r>
      <w:r>
        <w:rPr>
          <w:sz w:val="25"/>
          <w:szCs w:val="25"/>
          <w:lang w:val="en-US"/>
        </w:rPr>
        <w:t>SIM</w:t>
      </w:r>
      <w:r>
        <w:rPr>
          <w:sz w:val="25"/>
          <w:szCs w:val="25"/>
        </w:rPr>
        <w:t xml:space="preserve">-карты, а равно отсутствии на ней денежных средств, «Заказчик» обязан принять все меры по восстановлению электропитания, каналов передачи информации, работоспособности </w:t>
      </w:r>
      <w:r>
        <w:rPr>
          <w:sz w:val="25"/>
          <w:szCs w:val="25"/>
          <w:lang w:val="en-US"/>
        </w:rPr>
        <w:t>SIM</w:t>
      </w:r>
      <w:r>
        <w:rPr>
          <w:sz w:val="25"/>
          <w:szCs w:val="25"/>
        </w:rPr>
        <w:t>-карты.</w:t>
      </w:r>
    </w:p>
    <w:p>
      <w:pPr>
        <w:pStyle w:val="Normal"/>
        <w:shd w:val="clear" w:color="auto" w:fill="FFFFFF"/>
        <w:tabs>
          <w:tab w:val="clear" w:pos="708"/>
          <w:tab w:val="left" w:pos="1418" w:leader="none"/>
        </w:tabs>
        <w:ind w:firstLine="709"/>
        <w:jc w:val="both"/>
        <w:rPr>
          <w:sz w:val="25"/>
          <w:szCs w:val="25"/>
        </w:rPr>
      </w:pPr>
      <w:r>
        <w:rPr>
          <w:sz w:val="25"/>
          <w:szCs w:val="25"/>
        </w:rPr>
        <w:t>4.29.</w:t>
        <w:tab/>
        <w:t>В соответствии с пунктами 2.1-2.3 настоящего Договора:</w:t>
      </w:r>
    </w:p>
    <w:p>
      <w:pPr>
        <w:pStyle w:val="Normal"/>
        <w:shd w:val="clear" w:color="auto" w:fill="FFFFFF"/>
        <w:tabs>
          <w:tab w:val="clear" w:pos="708"/>
          <w:tab w:val="left" w:pos="1560" w:leader="none"/>
        </w:tabs>
        <w:ind w:firstLine="709"/>
        <w:jc w:val="both"/>
        <w:rPr>
          <w:sz w:val="25"/>
          <w:szCs w:val="25"/>
        </w:rPr>
      </w:pPr>
      <w:r>
        <w:rPr>
          <w:sz w:val="25"/>
          <w:szCs w:val="25"/>
        </w:rPr>
        <w:t>4.29.1.</w:t>
        <w:tab/>
        <w:t>Принять во временное пользование на безвозмездной основе от «Исполнителя» ТСО и обеспечить их сохранность, а также осуществлять в случае необходимости ремонт ТСО за счет собственных средств.</w:t>
      </w:r>
    </w:p>
    <w:p>
      <w:pPr>
        <w:pStyle w:val="Normal"/>
        <w:shd w:val="clear" w:color="auto" w:fill="FFFFFF"/>
        <w:tabs>
          <w:tab w:val="clear" w:pos="708"/>
          <w:tab w:val="left" w:pos="1560" w:leader="none"/>
        </w:tabs>
        <w:ind w:firstLine="709"/>
        <w:jc w:val="both"/>
        <w:rPr>
          <w:sz w:val="25"/>
          <w:szCs w:val="25"/>
        </w:rPr>
      </w:pPr>
      <w:r>
        <w:rPr>
          <w:sz w:val="25"/>
          <w:szCs w:val="25"/>
        </w:rPr>
        <w:t>4.29.2.</w:t>
        <w:tab/>
        <w:t>В случае окончания срока действия Договора или его расторжения по любым основаниям в течение 3 дней возвратить «Исполнителю» ТСО в состоянии, в котором они были приняты, с учетом их естественного ухудшения (износа) или иного изменения вследствие их естественных свойств, а в случае повреждения или утраты возместить их рыночную стоимость.</w:t>
      </w:r>
    </w:p>
    <w:p>
      <w:pPr>
        <w:pStyle w:val="Normal"/>
        <w:shd w:val="clear" w:color="auto" w:fill="FFFFFF"/>
        <w:tabs>
          <w:tab w:val="clear" w:pos="708"/>
          <w:tab w:val="left" w:pos="1560" w:leader="none"/>
        </w:tabs>
        <w:ind w:firstLine="709"/>
        <w:jc w:val="both"/>
        <w:rPr>
          <w:sz w:val="25"/>
          <w:szCs w:val="25"/>
        </w:rPr>
      </w:pPr>
      <w:r>
        <w:rPr>
          <w:sz w:val="25"/>
          <w:szCs w:val="25"/>
        </w:rPr>
        <w:t>4.29.3.</w:t>
        <w:tab/>
        <w:t>Обеспечить уполномоченному лицу «Исполнителя» доступ на «Объект» для демонтажа ТСО.</w:t>
      </w:r>
    </w:p>
    <w:p>
      <w:pPr>
        <w:pStyle w:val="Normal"/>
        <w:spacing w:before="500" w:after="0"/>
        <w:jc w:val="center"/>
        <w:rPr>
          <w:sz w:val="25"/>
          <w:szCs w:val="25"/>
        </w:rPr>
      </w:pPr>
      <w:r>
        <w:rPr>
          <w:b/>
          <w:sz w:val="25"/>
          <w:szCs w:val="25"/>
        </w:rPr>
        <w:t>5. ПРАВА «ИСПОЛНИТЕЛЯ»</w:t>
      </w:r>
    </w:p>
    <w:p>
      <w:pPr>
        <w:pStyle w:val="Normal"/>
        <w:shd w:val="clear" w:color="auto" w:fill="FFFFFF"/>
        <w:tabs>
          <w:tab w:val="clear" w:pos="708"/>
          <w:tab w:val="left" w:pos="1418" w:leader="none"/>
        </w:tabs>
        <w:ind w:firstLine="709"/>
        <w:jc w:val="both"/>
        <w:rPr>
          <w:sz w:val="25"/>
          <w:szCs w:val="25"/>
        </w:rPr>
      </w:pPr>
      <w:r>
        <w:rPr>
          <w:sz w:val="25"/>
          <w:szCs w:val="25"/>
        </w:rPr>
        <w:t>5.1.</w:t>
        <w:tab/>
        <w:t>Совместно с «Заказчиком» определять тип инженерной защиты и ТСО, устанавливаемых на «Объекте», а также возможность переключения ТСО «Объекта» на новый номер при изменении телефона, на новую сеть интернет провайдера.</w:t>
      </w:r>
    </w:p>
    <w:p>
      <w:pPr>
        <w:pStyle w:val="Normal"/>
        <w:shd w:val="clear" w:color="auto" w:fill="FFFFFF"/>
        <w:tabs>
          <w:tab w:val="clear" w:pos="708"/>
          <w:tab w:val="left" w:pos="1418" w:leader="none"/>
        </w:tabs>
        <w:ind w:firstLine="709"/>
        <w:jc w:val="both"/>
        <w:rPr>
          <w:sz w:val="25"/>
          <w:szCs w:val="25"/>
        </w:rPr>
      </w:pPr>
      <w:r>
        <w:rPr>
          <w:sz w:val="25"/>
          <w:szCs w:val="25"/>
        </w:rPr>
        <w:t>5.2.</w:t>
        <w:tab/>
        <w:t>В случае невозможности централизованной охраны «Объекта» по техническим или иным причинам, изменять по согласованию с «Заказчиком» вид и порядок охраны.</w:t>
      </w:r>
    </w:p>
    <w:p>
      <w:pPr>
        <w:pStyle w:val="Normal"/>
        <w:shd w:val="clear" w:color="auto" w:fill="FFFFFF"/>
        <w:tabs>
          <w:tab w:val="clear" w:pos="708"/>
          <w:tab w:val="left" w:pos="1418" w:leader="none"/>
        </w:tabs>
        <w:ind w:firstLine="709"/>
        <w:jc w:val="both"/>
        <w:rPr>
          <w:sz w:val="25"/>
          <w:szCs w:val="25"/>
        </w:rPr>
      </w:pPr>
      <w:r>
        <w:rPr>
          <w:sz w:val="25"/>
          <w:szCs w:val="25"/>
        </w:rPr>
        <w:t>5.3.</w:t>
        <w:tab/>
        <w:t>Не принимать «Объект» под охрану, приостановить оказание услуг охраны, либо прекратить оказание услуг охраны (расторгнуть Договор), если возникли причины (пункт 11.4 Договора), повлекшие невозможность осуществления охраны «Объекта», которые произошли по вине «Заказчика» или со стороны третьих лиц, препятствующие ее осуществлению, о чем «Заказчик» ставится в известность  по телефону или письменно.</w:t>
      </w:r>
    </w:p>
    <w:p>
      <w:pPr>
        <w:pStyle w:val="Normal"/>
        <w:shd w:val="clear" w:color="auto" w:fill="FFFFFF"/>
        <w:tabs>
          <w:tab w:val="clear" w:pos="708"/>
          <w:tab w:val="left" w:pos="1418" w:leader="none"/>
        </w:tabs>
        <w:ind w:firstLine="709"/>
        <w:jc w:val="both"/>
        <w:rPr>
          <w:sz w:val="25"/>
          <w:szCs w:val="25"/>
        </w:rPr>
      </w:pPr>
      <w:r>
        <w:rPr>
          <w:sz w:val="25"/>
          <w:szCs w:val="25"/>
        </w:rPr>
        <w:t>5.4.</w:t>
        <w:tab/>
        <w:t>Приостановить исполнение своих обязательств в одностороннем порядке, предварительно уведомив «Заказчика» (в том числе и по телефону), в случаях несвоевременной оплаты услуг «Заказчиком», предусмотренных пунктом 10.2 настоящего Договора. Охрана «Объекта» прекращается с 1 числа месяца, следующего за неоплаченным и возобновляется после произведения оплаты.</w:t>
      </w:r>
    </w:p>
    <w:p>
      <w:pPr>
        <w:pStyle w:val="Normal"/>
        <w:shd w:val="clear" w:color="auto" w:fill="FFFFFF"/>
        <w:tabs>
          <w:tab w:val="clear" w:pos="708"/>
          <w:tab w:val="left" w:pos="1418" w:leader="none"/>
        </w:tabs>
        <w:ind w:firstLine="709"/>
        <w:jc w:val="both"/>
        <w:rPr>
          <w:sz w:val="25"/>
          <w:szCs w:val="25"/>
        </w:rPr>
      </w:pPr>
      <w:r>
        <w:rPr>
          <w:sz w:val="25"/>
          <w:szCs w:val="25"/>
        </w:rPr>
        <w:t>5.5.</w:t>
        <w:tab/>
        <w:t>Приостановить исполнение своих обязательств в одностороннем порядке при возникновении спора по вопросу собственности на охраняемый «Объект» до принятия окончательного решения судебным органом.</w:t>
      </w:r>
    </w:p>
    <w:p>
      <w:pPr>
        <w:pStyle w:val="Normal"/>
        <w:shd w:val="clear" w:color="auto" w:fill="FFFFFF"/>
        <w:tabs>
          <w:tab w:val="clear" w:pos="708"/>
          <w:tab w:val="left" w:pos="1418" w:leader="none"/>
        </w:tabs>
        <w:ind w:firstLine="709"/>
        <w:jc w:val="both"/>
        <w:rPr>
          <w:sz w:val="25"/>
          <w:szCs w:val="25"/>
        </w:rPr>
      </w:pPr>
      <w:r>
        <w:rPr>
          <w:sz w:val="25"/>
          <w:szCs w:val="25"/>
        </w:rPr>
        <w:t>5.6.</w:t>
        <w:tab/>
        <w:t>Расторгнуть настоящий Договор в одностороннем порядке с предварительным уведомлением «Заказчика» в случае утраты «Заказчиком» права на оспариваемое имущество; систематического (более одного раза) нарушения «Заказчиком» предписаний «Исполнителя» по инженерно-технической укрепленности объекта, совершения «Заказчиком» иных действий, способных повлечь нарушение работоспособности ТСО.</w:t>
      </w:r>
    </w:p>
    <w:p>
      <w:pPr>
        <w:pStyle w:val="Normal"/>
        <w:shd w:val="clear" w:color="auto" w:fill="FFFFFF"/>
        <w:tabs>
          <w:tab w:val="clear" w:pos="708"/>
          <w:tab w:val="left" w:pos="1418" w:leader="none"/>
        </w:tabs>
        <w:ind w:firstLine="709"/>
        <w:jc w:val="both"/>
        <w:rPr>
          <w:sz w:val="25"/>
          <w:szCs w:val="25"/>
        </w:rPr>
      </w:pPr>
      <w:r>
        <w:rPr>
          <w:sz w:val="25"/>
          <w:szCs w:val="25"/>
        </w:rPr>
        <w:t>5.7.</w:t>
        <w:tab/>
        <w:t>Расторгнуть настоящий Договор в одностороннем порядке, если «Заказчик» по истечении 6 месяцев не возобновил услуги охраны, оказание которых было приостановлено.</w:t>
      </w:r>
    </w:p>
    <w:p>
      <w:pPr>
        <w:pStyle w:val="Normal"/>
        <w:shd w:val="clear" w:color="auto" w:fill="FFFFFF"/>
        <w:tabs>
          <w:tab w:val="clear" w:pos="708"/>
          <w:tab w:val="left" w:pos="1418" w:leader="none"/>
        </w:tabs>
        <w:ind w:firstLine="709"/>
        <w:jc w:val="both"/>
        <w:rPr>
          <w:sz w:val="25"/>
          <w:szCs w:val="25"/>
        </w:rPr>
      </w:pPr>
      <w:r>
        <w:rPr>
          <w:sz w:val="25"/>
          <w:szCs w:val="25"/>
        </w:rPr>
        <w:t>5.8.</w:t>
        <w:tab/>
        <w:t>Расторгнуть настоящий Договор в одностороннем порядке при введении высших степеней готовности войск национальной гвардии Российской Федерации, в случае, если дальнейшее оказание услуг станет невозможным (форс-мажор).</w:t>
      </w:r>
    </w:p>
    <w:p>
      <w:pPr>
        <w:pStyle w:val="Normal"/>
        <w:shd w:val="clear" w:color="auto" w:fill="FFFFFF"/>
        <w:tabs>
          <w:tab w:val="clear" w:pos="708"/>
          <w:tab w:val="left" w:pos="1418" w:leader="none"/>
        </w:tabs>
        <w:ind w:firstLine="709"/>
        <w:jc w:val="both"/>
        <w:rPr>
          <w:sz w:val="25"/>
          <w:szCs w:val="25"/>
        </w:rPr>
      </w:pPr>
      <w:r>
        <w:rPr>
          <w:sz w:val="25"/>
          <w:szCs w:val="25"/>
        </w:rPr>
        <w:t>5.9.</w:t>
        <w:tab/>
        <w:t>Не принимать «Объект» под охрану в связи с заменой ТСО, вызванной истечением срока эксплуатации, связанной с модернизацией систем централизованного наблюдения, заменой, ликвидацией, передислокацией пультов централизованного наблюдения, неисправностью ТСО на объекте, предварительно уведомив об этом «Заказчика».</w:t>
      </w:r>
    </w:p>
    <w:p>
      <w:pPr>
        <w:pStyle w:val="Normal"/>
        <w:shd w:val="clear" w:color="auto" w:fill="FFFFFF"/>
        <w:tabs>
          <w:tab w:val="clear" w:pos="708"/>
          <w:tab w:val="left" w:pos="1418" w:leader="none"/>
        </w:tabs>
        <w:ind w:firstLine="709"/>
        <w:jc w:val="both"/>
        <w:rPr>
          <w:sz w:val="25"/>
          <w:szCs w:val="25"/>
        </w:rPr>
      </w:pPr>
      <w:r>
        <w:rPr>
          <w:sz w:val="25"/>
          <w:szCs w:val="25"/>
        </w:rPr>
        <w:t>5.10.</w:t>
        <w:tab/>
        <w:t>Не принимать «Объект» под охрану и/или расторгать Договор на охрану в одностороннем порядке, предварительно уведомив «Заказчика» (в том числе и по телефону),  если сданные дубликаты ключей или сообщенные коды не соответствуют замкам, запорным устройствам «Объекта».</w:t>
      </w:r>
    </w:p>
    <w:p>
      <w:pPr>
        <w:pStyle w:val="Normal"/>
        <w:shd w:val="clear" w:color="auto" w:fill="FFFFFF"/>
        <w:tabs>
          <w:tab w:val="clear" w:pos="708"/>
          <w:tab w:val="left" w:pos="1418" w:leader="none"/>
        </w:tabs>
        <w:ind w:firstLine="709"/>
        <w:jc w:val="both"/>
        <w:rPr>
          <w:sz w:val="25"/>
          <w:szCs w:val="25"/>
        </w:rPr>
      </w:pPr>
      <w:r>
        <w:rPr>
          <w:sz w:val="25"/>
          <w:szCs w:val="25"/>
        </w:rPr>
        <w:t>5.11.</w:t>
        <w:tab/>
        <w:t>Не принимать «Объект» под охрану и/или расторгать Договор на охрану в одностороннем порядке, предварительно уведомив «Заказчика» (в том числе и по телефону), если «Заказчик» расторг договорные отношения с обслуживающей организацией, осуществляющей техническое обслуживание ТСО, установленных на охраняемом «Объекте».</w:t>
      </w:r>
    </w:p>
    <w:p>
      <w:pPr>
        <w:pStyle w:val="Normal"/>
        <w:shd w:val="clear" w:color="auto" w:fill="FFFFFF"/>
        <w:tabs>
          <w:tab w:val="clear" w:pos="708"/>
          <w:tab w:val="left" w:pos="1418" w:leader="none"/>
        </w:tabs>
        <w:ind w:firstLine="709"/>
        <w:jc w:val="both"/>
        <w:rPr>
          <w:sz w:val="25"/>
          <w:szCs w:val="25"/>
        </w:rPr>
      </w:pPr>
      <w:r>
        <w:rPr>
          <w:sz w:val="25"/>
          <w:szCs w:val="25"/>
        </w:rPr>
        <w:t>5.12.</w:t>
        <w:tab/>
        <w:t>Не принимать «Объект» под охрану, если инженерно-техническая укрепленность «Объекта» ухудшилась по сравнению с состоянием на момент заключения Договора, а «Заказчик» отказывается ее восстановить.</w:t>
      </w:r>
    </w:p>
    <w:p>
      <w:pPr>
        <w:pStyle w:val="Normal"/>
        <w:shd w:val="clear" w:color="auto" w:fill="FFFFFF"/>
        <w:tabs>
          <w:tab w:val="clear" w:pos="708"/>
          <w:tab w:val="left" w:pos="1418" w:leader="none"/>
        </w:tabs>
        <w:ind w:firstLine="709"/>
        <w:jc w:val="both"/>
        <w:rPr>
          <w:sz w:val="25"/>
          <w:szCs w:val="25"/>
        </w:rPr>
      </w:pPr>
      <w:r>
        <w:rPr>
          <w:sz w:val="25"/>
          <w:szCs w:val="25"/>
        </w:rPr>
        <w:t>5.13.</w:t>
        <w:tab/>
        <w:t>Вскрывать «Объект» дубликатами ключей и осматривать его в присутствии понятых или без таковых (в соответствии с Приложением № 1) с составлением акта о вскрытии и осмотре, производить повторную сдачу «Объекта» для дальнейшего продолжения охраны в случае поступления сигнала «Тревога» или не взятия «Объекта» под охрану.</w:t>
      </w:r>
    </w:p>
    <w:p>
      <w:pPr>
        <w:pStyle w:val="Normal"/>
        <w:shd w:val="clear" w:color="auto" w:fill="FFFFFF"/>
        <w:tabs>
          <w:tab w:val="clear" w:pos="708"/>
          <w:tab w:val="left" w:pos="1418" w:leader="none"/>
        </w:tabs>
        <w:ind w:firstLine="709"/>
        <w:jc w:val="both"/>
        <w:rPr>
          <w:sz w:val="25"/>
          <w:szCs w:val="25"/>
        </w:rPr>
      </w:pPr>
      <w:r>
        <w:rPr>
          <w:sz w:val="25"/>
          <w:szCs w:val="25"/>
        </w:rPr>
        <w:t>5.14.</w:t>
        <w:tab/>
        <w:t>Присутствовать при возвращении «Заказчику» органами следствия или судом похищенного из «Объекта» имущества.</w:t>
      </w:r>
    </w:p>
    <w:p>
      <w:pPr>
        <w:pStyle w:val="Normal"/>
        <w:shd w:val="clear" w:color="auto" w:fill="FFFFFF"/>
        <w:tabs>
          <w:tab w:val="clear" w:pos="708"/>
          <w:tab w:val="left" w:pos="1418" w:leader="none"/>
        </w:tabs>
        <w:ind w:firstLine="709"/>
        <w:jc w:val="both"/>
        <w:rPr>
          <w:sz w:val="25"/>
          <w:szCs w:val="25"/>
        </w:rPr>
      </w:pPr>
      <w:r>
        <w:rPr>
          <w:sz w:val="25"/>
          <w:szCs w:val="25"/>
        </w:rPr>
        <w:t>5.15.</w:t>
        <w:tab/>
        <w:t>Производить комиссионное обследование технического состояния ТСО, по результатам которого представлять «Заказчику» предписание на проведение мероприятий по инженерно-технической укрепленности «Объекта», капитальному ремонту ТСО.</w:t>
      </w:r>
    </w:p>
    <w:p>
      <w:pPr>
        <w:pStyle w:val="Normal"/>
        <w:shd w:val="clear" w:color="auto" w:fill="FFFFFF"/>
        <w:tabs>
          <w:tab w:val="clear" w:pos="708"/>
          <w:tab w:val="left" w:pos="1418" w:leader="none"/>
        </w:tabs>
        <w:ind w:firstLine="709"/>
        <w:jc w:val="both"/>
        <w:rPr>
          <w:sz w:val="25"/>
          <w:szCs w:val="25"/>
        </w:rPr>
      </w:pPr>
      <w:r>
        <w:rPr>
          <w:sz w:val="25"/>
          <w:szCs w:val="25"/>
        </w:rPr>
        <w:t>5.16.</w:t>
        <w:tab/>
        <w:t>Принимать меры, согласно действующему законодательству, для защиты от угрозы нападения опасных животных при вскрытии «Объекта».</w:t>
      </w:r>
    </w:p>
    <w:p>
      <w:pPr>
        <w:pStyle w:val="Normal"/>
        <w:shd w:val="clear" w:color="auto" w:fill="FFFFFF"/>
        <w:tabs>
          <w:tab w:val="clear" w:pos="708"/>
          <w:tab w:val="left" w:pos="1418" w:leader="none"/>
        </w:tabs>
        <w:ind w:firstLine="709"/>
        <w:jc w:val="both"/>
        <w:rPr>
          <w:sz w:val="25"/>
          <w:szCs w:val="25"/>
        </w:rPr>
      </w:pPr>
      <w:r>
        <w:rPr>
          <w:bCs/>
          <w:sz w:val="25"/>
          <w:szCs w:val="25"/>
        </w:rPr>
        <w:t>5.17.</w:t>
        <w:tab/>
        <w:t>В случае нарушения сроков оплаты поставляемых услуг по Договору, «</w:t>
      </w:r>
      <w:r>
        <w:rPr>
          <w:sz w:val="25"/>
          <w:szCs w:val="25"/>
        </w:rPr>
        <w:t>Исполнитель</w:t>
      </w:r>
      <w:r>
        <w:rPr>
          <w:bCs/>
          <w:sz w:val="25"/>
          <w:szCs w:val="25"/>
        </w:rPr>
        <w:t>» вправе взыскать с «Заказчика» пени в порядке, предусмотренном статьёй 395 Гражданского кодекса Российской Федерации, за каждый день просрочки.</w:t>
      </w:r>
    </w:p>
    <w:p>
      <w:pPr>
        <w:pStyle w:val="Normal"/>
        <w:spacing w:before="500" w:after="0"/>
        <w:jc w:val="center"/>
        <w:rPr>
          <w:sz w:val="25"/>
          <w:szCs w:val="25"/>
        </w:rPr>
      </w:pPr>
      <w:r>
        <w:rPr>
          <w:b/>
          <w:sz w:val="25"/>
          <w:szCs w:val="25"/>
        </w:rPr>
        <w:t>6. ПРАВА «ЗАКАЗЧИКА»</w:t>
      </w:r>
    </w:p>
    <w:p>
      <w:pPr>
        <w:pStyle w:val="Normal"/>
        <w:shd w:val="clear" w:color="auto" w:fill="FFFFFF"/>
        <w:tabs>
          <w:tab w:val="clear" w:pos="708"/>
          <w:tab w:val="left" w:pos="1418" w:leader="none"/>
        </w:tabs>
        <w:ind w:firstLine="709"/>
        <w:jc w:val="both"/>
        <w:rPr>
          <w:sz w:val="25"/>
          <w:szCs w:val="25"/>
        </w:rPr>
      </w:pPr>
      <w:r>
        <w:rPr>
          <w:sz w:val="25"/>
          <w:szCs w:val="25"/>
        </w:rPr>
        <w:t>6.1.</w:t>
        <w:tab/>
        <w:t>По согласованию с «Исполнителем» определять тип ТСО, устанавливаемых на «Объекте» до заключения настоящего Договора. В период действия Договора вносить предложения по изменению типа сигнализации, по улучшению тактики охраны «Объекта» и его инженерно-технической укрепленности.</w:t>
      </w:r>
    </w:p>
    <w:p>
      <w:pPr>
        <w:pStyle w:val="Normal"/>
        <w:shd w:val="clear" w:color="auto" w:fill="FFFFFF"/>
        <w:tabs>
          <w:tab w:val="clear" w:pos="708"/>
          <w:tab w:val="left" w:pos="1418" w:leader="none"/>
        </w:tabs>
        <w:ind w:firstLine="709"/>
        <w:jc w:val="both"/>
        <w:rPr>
          <w:sz w:val="25"/>
          <w:szCs w:val="25"/>
        </w:rPr>
      </w:pPr>
      <w:r>
        <w:rPr>
          <w:spacing w:val="-3"/>
          <w:sz w:val="25"/>
          <w:szCs w:val="25"/>
        </w:rPr>
        <w:t>6.2.</w:t>
        <w:tab/>
        <w:t xml:space="preserve">Назначать своих официальных представителей (доверенных лиц) и передавать им право </w:t>
      </w:r>
      <w:r>
        <w:rPr>
          <w:spacing w:val="-5"/>
          <w:sz w:val="25"/>
          <w:szCs w:val="25"/>
        </w:rPr>
        <w:t xml:space="preserve">пользования ТСО и исполнения обязанностей «Заказчика» по </w:t>
      </w:r>
      <w:r>
        <w:rPr>
          <w:spacing w:val="-1"/>
          <w:sz w:val="25"/>
          <w:szCs w:val="25"/>
        </w:rPr>
        <w:t xml:space="preserve">настоящему Договору, в случае отсутствия Заказчика (командировка, отпуск, стационарное лечение и </w:t>
      </w:r>
      <w:r>
        <w:rPr>
          <w:spacing w:val="-6"/>
          <w:sz w:val="25"/>
          <w:szCs w:val="25"/>
        </w:rPr>
        <w:t>т.д.), с обязательным переоформлением Приложения № 1 к настоящему Договору.</w:t>
      </w:r>
    </w:p>
    <w:p>
      <w:pPr>
        <w:pStyle w:val="Normal"/>
        <w:shd w:val="clear" w:color="auto" w:fill="FFFFFF"/>
        <w:tabs>
          <w:tab w:val="clear" w:pos="708"/>
          <w:tab w:val="left" w:pos="1418" w:leader="none"/>
        </w:tabs>
        <w:ind w:firstLine="709"/>
        <w:jc w:val="both"/>
        <w:rPr>
          <w:sz w:val="25"/>
          <w:szCs w:val="25"/>
        </w:rPr>
      </w:pPr>
      <w:r>
        <w:rPr>
          <w:spacing w:val="-5"/>
          <w:sz w:val="25"/>
          <w:szCs w:val="25"/>
        </w:rPr>
        <w:t>6.3.</w:t>
        <w:tab/>
        <w:t>Принимать решение о предоставлении «</w:t>
      </w:r>
      <w:r>
        <w:rPr>
          <w:sz w:val="25"/>
          <w:szCs w:val="25"/>
        </w:rPr>
        <w:t>Исполнителю</w:t>
      </w:r>
      <w:r>
        <w:rPr>
          <w:spacing w:val="-5"/>
          <w:sz w:val="25"/>
          <w:szCs w:val="25"/>
        </w:rPr>
        <w:t xml:space="preserve">» права вскрывать и осматривать «Объект» </w:t>
      </w:r>
      <w:r>
        <w:rPr>
          <w:spacing w:val="-4"/>
          <w:sz w:val="25"/>
          <w:szCs w:val="25"/>
        </w:rPr>
        <w:t>с участием понятых, либо без таковых при поступлении сигнала «Тревога» или не включения ТСО</w:t>
      </w:r>
      <w:r>
        <w:rPr>
          <w:spacing w:val="-5"/>
          <w:sz w:val="25"/>
          <w:szCs w:val="25"/>
        </w:rPr>
        <w:t xml:space="preserve"> при сдаче «Объекта» под охрану, о чем в Приложении № 1 </w:t>
      </w:r>
      <w:r>
        <w:rPr>
          <w:spacing w:val="-6"/>
          <w:sz w:val="25"/>
          <w:szCs w:val="25"/>
        </w:rPr>
        <w:t>к настоящему Договору</w:t>
      </w:r>
      <w:r>
        <w:rPr>
          <w:spacing w:val="-5"/>
          <w:sz w:val="25"/>
          <w:szCs w:val="25"/>
        </w:rPr>
        <w:t xml:space="preserve"> делается соответствующая отметка.</w:t>
      </w:r>
    </w:p>
    <w:p>
      <w:pPr>
        <w:pStyle w:val="Normal"/>
        <w:shd w:val="clear" w:color="auto" w:fill="FFFFFF"/>
        <w:tabs>
          <w:tab w:val="clear" w:pos="708"/>
          <w:tab w:val="left" w:pos="1418" w:leader="none"/>
        </w:tabs>
        <w:ind w:firstLine="709"/>
        <w:jc w:val="both"/>
        <w:rPr>
          <w:sz w:val="25"/>
          <w:szCs w:val="25"/>
        </w:rPr>
      </w:pPr>
      <w:r>
        <w:rPr>
          <w:sz w:val="25"/>
          <w:szCs w:val="25"/>
        </w:rPr>
        <w:t>6.4.</w:t>
        <w:tab/>
        <w:t>Совместно с представителями «Исполнителя» производить проверку технического состояния ТСО на «Объекте».</w:t>
      </w:r>
    </w:p>
    <w:p>
      <w:pPr>
        <w:pStyle w:val="Normal"/>
        <w:shd w:val="clear" w:color="auto" w:fill="FFFFFF"/>
        <w:tabs>
          <w:tab w:val="clear" w:pos="708"/>
          <w:tab w:val="left" w:pos="1418" w:leader="none"/>
        </w:tabs>
        <w:ind w:firstLine="709"/>
        <w:jc w:val="both"/>
        <w:rPr>
          <w:sz w:val="25"/>
          <w:szCs w:val="25"/>
        </w:rPr>
      </w:pPr>
      <w:r>
        <w:rPr>
          <w:sz w:val="25"/>
          <w:szCs w:val="25"/>
        </w:rPr>
        <w:t>6.5.</w:t>
        <w:tab/>
        <w:t>Ставить в известность «Исполнителя» о недостатках и нарушениях допущенных работниками и сотрудниками  «Исполнителя» при исполнении ими договорных обязательств, для принятия необходимых мер по исключению этих недостатков и нарушений.</w:t>
      </w:r>
    </w:p>
    <w:p>
      <w:pPr>
        <w:pStyle w:val="Normal"/>
        <w:shd w:val="clear" w:color="auto" w:fill="FFFFFF"/>
        <w:tabs>
          <w:tab w:val="clear" w:pos="708"/>
          <w:tab w:val="left" w:pos="1418" w:leader="none"/>
        </w:tabs>
        <w:ind w:firstLine="709"/>
        <w:jc w:val="both"/>
        <w:rPr>
          <w:sz w:val="25"/>
          <w:szCs w:val="25"/>
        </w:rPr>
      </w:pPr>
      <w:r>
        <w:rPr>
          <w:sz w:val="25"/>
          <w:szCs w:val="25"/>
        </w:rPr>
        <w:t>6.6.</w:t>
        <w:tab/>
        <w:t>Вносить абонентскую плату за услуги «Исполнителя» в размере 100 % за период охраны сроком от одного месяца до одного года.</w:t>
      </w:r>
    </w:p>
    <w:p>
      <w:pPr>
        <w:pStyle w:val="Normal"/>
        <w:shd w:val="clear" w:color="auto" w:fill="FFFFFF"/>
        <w:tabs>
          <w:tab w:val="clear" w:pos="708"/>
          <w:tab w:val="left" w:pos="1418" w:leader="none"/>
        </w:tabs>
        <w:ind w:firstLine="709"/>
        <w:jc w:val="both"/>
        <w:rPr>
          <w:sz w:val="25"/>
          <w:szCs w:val="25"/>
        </w:rPr>
      </w:pPr>
      <w:r>
        <w:rPr>
          <w:sz w:val="25"/>
          <w:szCs w:val="25"/>
        </w:rPr>
        <w:t>6.7.</w:t>
        <w:tab/>
        <w:t>Изменять сумму оценки имущества не ниже минимальной, установленной «Исполнителем».</w:t>
      </w:r>
    </w:p>
    <w:p>
      <w:pPr>
        <w:pStyle w:val="Normal"/>
        <w:shd w:val="clear" w:color="auto" w:fill="FFFFFF"/>
        <w:tabs>
          <w:tab w:val="clear" w:pos="708"/>
          <w:tab w:val="left" w:pos="1418" w:leader="none"/>
        </w:tabs>
        <w:ind w:firstLine="709"/>
        <w:jc w:val="both"/>
        <w:rPr>
          <w:sz w:val="25"/>
          <w:szCs w:val="25"/>
        </w:rPr>
      </w:pPr>
      <w:r>
        <w:rPr>
          <w:sz w:val="25"/>
          <w:szCs w:val="25"/>
        </w:rPr>
        <w:t>6.8.</w:t>
        <w:tab/>
        <w:t xml:space="preserve">Приостанавливать оказание услуг по охране «Объекта» на срок не более 6 (шести) месяцев в случае временного отсутствия необходимости в охране. </w:t>
      </w:r>
    </w:p>
    <w:p>
      <w:pPr>
        <w:pStyle w:val="Normal"/>
        <w:spacing w:before="500" w:after="0"/>
        <w:jc w:val="center"/>
        <w:rPr>
          <w:sz w:val="25"/>
          <w:szCs w:val="25"/>
        </w:rPr>
      </w:pPr>
      <w:r>
        <w:rPr>
          <w:b/>
          <w:bCs/>
          <w:sz w:val="25"/>
          <w:szCs w:val="25"/>
        </w:rPr>
        <w:t>7. ОТВЕТСТВЕННОСТЬ «ИСПОЛНИТЕЛЯ»</w:t>
      </w:r>
    </w:p>
    <w:p>
      <w:pPr>
        <w:pStyle w:val="Normal"/>
        <w:widowControl/>
        <w:tabs>
          <w:tab w:val="clear" w:pos="708"/>
          <w:tab w:val="left" w:pos="1418" w:leader="none"/>
        </w:tabs>
        <w:ind w:firstLine="624"/>
        <w:jc w:val="both"/>
        <w:rPr>
          <w:sz w:val="25"/>
          <w:szCs w:val="25"/>
        </w:rPr>
      </w:pPr>
      <w:r>
        <w:rPr>
          <w:sz w:val="25"/>
          <w:szCs w:val="25"/>
        </w:rPr>
        <w:t>7.1.</w:t>
        <w:tab/>
        <w:t xml:space="preserve">При проникновении на охраняемый «Объект» посторонних лиц и совершения ими противоправного изъятия или повреждения имущества «Заказчика», «Исполнитель» и «Заказчик» немедленно создают комиссию с участием своих представителей для установления причин проникновения. Комиссия по результатам проверки составляет акт с указанием выводов причин проникновения и указанием степени виновности сторон. </w:t>
      </w:r>
    </w:p>
    <w:p>
      <w:pPr>
        <w:pStyle w:val="Normal"/>
        <w:widowControl/>
        <w:tabs>
          <w:tab w:val="clear" w:pos="708"/>
          <w:tab w:val="left" w:pos="1134" w:leader="none"/>
          <w:tab w:val="left" w:pos="1418" w:leader="none"/>
        </w:tabs>
        <w:ind w:firstLine="624"/>
        <w:jc w:val="both"/>
        <w:rPr>
          <w:sz w:val="25"/>
          <w:szCs w:val="25"/>
        </w:rPr>
      </w:pPr>
      <w:r>
        <w:rPr>
          <w:sz w:val="25"/>
          <w:szCs w:val="25"/>
        </w:rPr>
        <w:t>7.2.</w:t>
        <w:tab/>
        <w:t xml:space="preserve">«Исполнитель» несет материальную ответственность за ущерб, причиненный кражей товарно-материальных ценностей, совершенной посредством взлома на охраняемом «Объекте» запоров, замков, окон, и иных инженерных сооружений в результате не обеспечения надлежащей охраны имущества «Заказчика» </w:t>
      </w:r>
      <w:r>
        <w:rPr>
          <w:spacing w:val="1"/>
          <w:sz w:val="25"/>
          <w:szCs w:val="25"/>
        </w:rPr>
        <w:t xml:space="preserve">в пределах оценочной стоимости, установленной </w:t>
      </w:r>
      <w:r>
        <w:rPr>
          <w:spacing w:val="-7"/>
          <w:sz w:val="25"/>
          <w:szCs w:val="25"/>
        </w:rPr>
        <w:t>«Заказчиком» и указанной в Приложении №</w:t>
      </w:r>
      <w:r>
        <w:rPr>
          <w:sz w:val="25"/>
          <w:szCs w:val="25"/>
        </w:rPr>
        <w:t xml:space="preserve"> 1 </w:t>
      </w:r>
      <w:r>
        <w:rPr>
          <w:spacing w:val="-6"/>
          <w:sz w:val="25"/>
          <w:szCs w:val="25"/>
        </w:rPr>
        <w:t>к настоящему Договору.</w:t>
      </w:r>
    </w:p>
    <w:p>
      <w:pPr>
        <w:pStyle w:val="Normal"/>
        <w:widowControl/>
        <w:tabs>
          <w:tab w:val="clear" w:pos="708"/>
          <w:tab w:val="left" w:pos="1134" w:leader="none"/>
          <w:tab w:val="left" w:pos="1418" w:leader="none"/>
        </w:tabs>
        <w:ind w:firstLine="624"/>
        <w:jc w:val="both"/>
        <w:rPr>
          <w:sz w:val="25"/>
          <w:szCs w:val="25"/>
        </w:rPr>
      </w:pPr>
      <w:r>
        <w:rPr>
          <w:sz w:val="25"/>
          <w:szCs w:val="25"/>
        </w:rPr>
        <w:t>7.3.</w:t>
        <w:tab/>
        <w:t>Факт кражи, уничтожения или повреждения имущества посторонними лицами, проникшими на охраняемый «Объект», устанавливаются органами дознания, следствия или судом.</w:t>
      </w:r>
    </w:p>
    <w:p>
      <w:pPr>
        <w:pStyle w:val="Normal"/>
        <w:widowControl/>
        <w:tabs>
          <w:tab w:val="clear" w:pos="708"/>
          <w:tab w:val="left" w:pos="1134" w:leader="none"/>
          <w:tab w:val="left" w:pos="1418" w:leader="none"/>
        </w:tabs>
        <w:ind w:firstLine="624"/>
        <w:jc w:val="both"/>
        <w:rPr>
          <w:sz w:val="25"/>
          <w:szCs w:val="25"/>
        </w:rPr>
      </w:pPr>
      <w:r>
        <w:rPr>
          <w:sz w:val="25"/>
          <w:szCs w:val="25"/>
        </w:rPr>
        <w:t>7.4.</w:t>
        <w:tab/>
        <w:t xml:space="preserve">Возмещение материального ущерба «Заказчика», причиненного хищением имущества «Заказчика», осуществляется на основании постановления органа следствия, дознания, установившего факт кражи и ее размеры, и вступившего в законную силу решения суда, подтверждающего вину «Исполнителя». </w:t>
      </w:r>
      <w:r>
        <w:rPr>
          <w:spacing w:val="-4"/>
          <w:sz w:val="25"/>
          <w:szCs w:val="25"/>
        </w:rPr>
        <w:t>При отсутствии спора возмещение ущерба, причиненного кражей, производится в согласован</w:t>
      </w:r>
      <w:r>
        <w:rPr>
          <w:spacing w:val="-5"/>
          <w:sz w:val="25"/>
          <w:szCs w:val="25"/>
        </w:rPr>
        <w:t>ные сторонами сроки.</w:t>
      </w:r>
    </w:p>
    <w:p>
      <w:pPr>
        <w:pStyle w:val="Normal"/>
        <w:widowControl/>
        <w:tabs>
          <w:tab w:val="clear" w:pos="708"/>
          <w:tab w:val="left" w:pos="1134" w:leader="none"/>
          <w:tab w:val="left" w:pos="1418" w:leader="none"/>
        </w:tabs>
        <w:ind w:firstLine="624"/>
        <w:jc w:val="both"/>
        <w:rPr>
          <w:sz w:val="25"/>
          <w:szCs w:val="25"/>
        </w:rPr>
      </w:pPr>
      <w:r>
        <w:rPr>
          <w:spacing w:val="-5"/>
          <w:sz w:val="25"/>
          <w:szCs w:val="25"/>
        </w:rPr>
        <w:t>7.5.</w:t>
        <w:tab/>
        <w:t>В случае задержания сотрудниками «</w:t>
      </w:r>
      <w:r>
        <w:rPr>
          <w:sz w:val="25"/>
          <w:szCs w:val="25"/>
        </w:rPr>
        <w:t>Исполнителя</w:t>
      </w:r>
      <w:r>
        <w:rPr>
          <w:spacing w:val="-5"/>
          <w:sz w:val="25"/>
          <w:szCs w:val="25"/>
        </w:rPr>
        <w:t>» и/или сотрудниками других служб правоохранительных органов лиц, совершивших кражу из «Объекта», стоимость возвращенных материальных ценностей исключается из общей суммы требований, которые могут быть заявлены «</w:t>
      </w:r>
      <w:r>
        <w:rPr>
          <w:sz w:val="25"/>
          <w:szCs w:val="25"/>
        </w:rPr>
        <w:t>Исполнителю</w:t>
      </w:r>
      <w:r>
        <w:rPr>
          <w:spacing w:val="-5"/>
          <w:sz w:val="25"/>
          <w:szCs w:val="25"/>
        </w:rPr>
        <w:t>», а ранее возмещенные суммы за то имущество и ценности выплачиваются «Заказчиком» «</w:t>
      </w:r>
      <w:r>
        <w:rPr>
          <w:sz w:val="25"/>
          <w:szCs w:val="25"/>
        </w:rPr>
        <w:t>Исполнителю</w:t>
      </w:r>
      <w:r>
        <w:rPr>
          <w:spacing w:val="-5"/>
          <w:sz w:val="25"/>
          <w:szCs w:val="25"/>
        </w:rPr>
        <w:t>» в течение 10 (десяти) дней после получения ценностей «Заказчиком». Если часть возвращенных материальных ценностей окажется утратившей стоимость, об этом составляется акт с участием компетентных органов и представителей «Сторон» для определения их годности. В этом случае «</w:t>
      </w:r>
      <w:r>
        <w:rPr>
          <w:sz w:val="25"/>
          <w:szCs w:val="25"/>
        </w:rPr>
        <w:t>Исполнителем</w:t>
      </w:r>
      <w:r>
        <w:rPr>
          <w:spacing w:val="-5"/>
          <w:sz w:val="25"/>
          <w:szCs w:val="25"/>
        </w:rPr>
        <w:t>» возмещается только размер уценки.</w:t>
      </w:r>
    </w:p>
    <w:p>
      <w:pPr>
        <w:pStyle w:val="Normal"/>
        <w:widowControl/>
        <w:tabs>
          <w:tab w:val="clear" w:pos="708"/>
          <w:tab w:val="left" w:pos="1134" w:leader="none"/>
          <w:tab w:val="left" w:pos="1418" w:leader="none"/>
        </w:tabs>
        <w:ind w:firstLine="624"/>
        <w:jc w:val="both"/>
        <w:rPr>
          <w:sz w:val="25"/>
          <w:szCs w:val="25"/>
        </w:rPr>
      </w:pPr>
      <w:r>
        <w:rPr>
          <w:spacing w:val="-5"/>
          <w:sz w:val="25"/>
          <w:szCs w:val="25"/>
        </w:rPr>
        <w:t>7.6.</w:t>
        <w:tab/>
        <w:t>В случае задержания сотрудниками «</w:t>
      </w:r>
      <w:r>
        <w:rPr>
          <w:sz w:val="25"/>
          <w:szCs w:val="25"/>
        </w:rPr>
        <w:t>Исполнителя</w:t>
      </w:r>
      <w:r>
        <w:rPr>
          <w:spacing w:val="-5"/>
          <w:sz w:val="25"/>
          <w:szCs w:val="25"/>
        </w:rPr>
        <w:t xml:space="preserve">» и/или сотрудниками других служб правоохранительных органов лиц, </w:t>
      </w:r>
      <w:r>
        <w:rPr>
          <w:spacing w:val="-2"/>
          <w:sz w:val="25"/>
          <w:szCs w:val="25"/>
        </w:rPr>
        <w:t>в момент совершения кражи, или по «горячим следам» (в течение 3-х суток после факта проникновения на охраняемый «Объект), при возникновении</w:t>
      </w:r>
      <w:r>
        <w:rPr>
          <w:spacing w:val="-5"/>
          <w:sz w:val="25"/>
          <w:szCs w:val="25"/>
        </w:rPr>
        <w:t xml:space="preserve"> у «Заказчика» материальных претензий и/или претензий о возмещении морального вреда он предъявляет их через суд непосредственно к этим лицам.</w:t>
      </w:r>
    </w:p>
    <w:p>
      <w:pPr>
        <w:pStyle w:val="Normal"/>
        <w:widowControl/>
        <w:tabs>
          <w:tab w:val="clear" w:pos="708"/>
          <w:tab w:val="left" w:pos="1276" w:leader="none"/>
          <w:tab w:val="left" w:pos="1418" w:leader="none"/>
        </w:tabs>
        <w:ind w:firstLine="624"/>
        <w:jc w:val="both"/>
        <w:rPr>
          <w:sz w:val="25"/>
          <w:szCs w:val="25"/>
        </w:rPr>
      </w:pPr>
      <w:r>
        <w:rPr>
          <w:bCs/>
          <w:sz w:val="25"/>
          <w:szCs w:val="25"/>
        </w:rPr>
        <w:t>7.7.</w:t>
        <w:tab/>
        <w:t>«</w:t>
      </w:r>
      <w:r>
        <w:rPr>
          <w:spacing w:val="-5"/>
          <w:sz w:val="25"/>
          <w:szCs w:val="25"/>
        </w:rPr>
        <w:t>Исполнитель</w:t>
      </w:r>
      <w:r>
        <w:rPr>
          <w:bCs/>
          <w:sz w:val="25"/>
          <w:szCs w:val="25"/>
        </w:rPr>
        <w:t>» освобождается от материальной ответственности:</w:t>
      </w:r>
    </w:p>
    <w:p>
      <w:pPr>
        <w:pStyle w:val="Normal"/>
        <w:widowControl/>
        <w:tabs>
          <w:tab w:val="clear" w:pos="708"/>
          <w:tab w:val="left" w:pos="1276" w:leader="none"/>
          <w:tab w:val="left" w:pos="1418" w:leader="none"/>
        </w:tabs>
        <w:ind w:firstLine="624"/>
        <w:jc w:val="both"/>
        <w:rPr>
          <w:sz w:val="25"/>
          <w:szCs w:val="25"/>
        </w:rPr>
      </w:pPr>
      <w:r>
        <w:rPr>
          <w:spacing w:val="-5"/>
          <w:sz w:val="25"/>
          <w:szCs w:val="25"/>
        </w:rPr>
        <w:t>7.7.1.</w:t>
        <w:tab/>
        <w:t>За кражу, совершенную в неохраняемый период времени.</w:t>
      </w:r>
    </w:p>
    <w:p>
      <w:pPr>
        <w:pStyle w:val="Normal"/>
        <w:widowControl/>
        <w:tabs>
          <w:tab w:val="clear" w:pos="708"/>
          <w:tab w:val="left" w:pos="1418" w:leader="none"/>
        </w:tabs>
        <w:ind w:firstLine="624"/>
        <w:jc w:val="both"/>
        <w:rPr>
          <w:sz w:val="25"/>
          <w:szCs w:val="25"/>
        </w:rPr>
      </w:pPr>
      <w:r>
        <w:rPr>
          <w:spacing w:val="-5"/>
          <w:sz w:val="25"/>
          <w:szCs w:val="25"/>
        </w:rPr>
        <w:t>7.7.2.</w:t>
        <w:tab/>
        <w:t>За кражу имущества, если она совершена путем проникновения посторонних лиц на «Объект» через места, от защиты которых инженерными средствами охраны, ТСО «Заказчик» отказался, отразив свое мнение в Приложении к Акту обследования «Объекта», а также в случае установки «Заказчиком» преграждающих предметов (шкафов, стеллажей и т.д.) перед зоной обнаружения охранных извещателей, а также застекленных и сетчатых перегородок, произведением перепланировок, конструктивных изменений, о которых «</w:t>
      </w:r>
      <w:r>
        <w:rPr>
          <w:sz w:val="25"/>
          <w:szCs w:val="25"/>
        </w:rPr>
        <w:t>Исполнитель</w:t>
      </w:r>
      <w:r>
        <w:rPr>
          <w:spacing w:val="-5"/>
          <w:sz w:val="25"/>
          <w:szCs w:val="25"/>
        </w:rPr>
        <w:t>» не был уведомлен, повлекших за собой несрабатывание ТСО при попытке проникновения или кражи имущества.</w:t>
      </w:r>
    </w:p>
    <w:p>
      <w:pPr>
        <w:pStyle w:val="Normal"/>
        <w:widowControl/>
        <w:tabs>
          <w:tab w:val="clear" w:pos="708"/>
          <w:tab w:val="left" w:pos="1418" w:leader="none"/>
        </w:tabs>
        <w:ind w:firstLine="624"/>
        <w:jc w:val="both"/>
        <w:rPr>
          <w:sz w:val="25"/>
          <w:szCs w:val="25"/>
        </w:rPr>
      </w:pPr>
      <w:r>
        <w:rPr>
          <w:spacing w:val="-5"/>
          <w:sz w:val="25"/>
          <w:szCs w:val="25"/>
        </w:rPr>
        <w:t>7.7.3.</w:t>
        <w:tab/>
        <w:t>За кражу имущества из «Объекта», если она совершена членами семьи «Заказчика», доверенными лицами, лицами, проживающими на «Объекте», иными лицами, имеющими доступ в охраняемый «Объект», а также за хищение, совершенное путем грабежа или при разбойном нападении на «Объект», в период нахождения внутри «Объекта» «Заказчика», членов его семьи, доверенных лиц, лиц, зарегистрированных по адресу «Объекта», иными лицами, имеющими доступ в охраняемый «Объект».</w:t>
      </w:r>
    </w:p>
    <w:p>
      <w:pPr>
        <w:pStyle w:val="Normal"/>
        <w:widowControl/>
        <w:tabs>
          <w:tab w:val="clear" w:pos="708"/>
          <w:tab w:val="left" w:pos="1418" w:leader="none"/>
        </w:tabs>
        <w:ind w:firstLine="624"/>
        <w:jc w:val="both"/>
        <w:rPr>
          <w:sz w:val="25"/>
          <w:szCs w:val="25"/>
        </w:rPr>
      </w:pPr>
      <w:r>
        <w:rPr>
          <w:spacing w:val="-5"/>
          <w:sz w:val="25"/>
          <w:szCs w:val="25"/>
        </w:rPr>
        <w:t>7.7.4.</w:t>
        <w:tab/>
        <w:t>За кражу имущества из «Объекта», если установлено, что «</w:t>
      </w:r>
      <w:r>
        <w:rPr>
          <w:sz w:val="25"/>
          <w:szCs w:val="25"/>
        </w:rPr>
        <w:t>Исполнитель</w:t>
      </w:r>
      <w:r>
        <w:rPr>
          <w:spacing w:val="-5"/>
          <w:sz w:val="25"/>
          <w:szCs w:val="25"/>
        </w:rPr>
        <w:t>» был лишен возможности вскрывать и осматривать «Объект» для выяснения причин срабатывания ТСО или непринятия под охрану вследствие отсутствия или несоответствия дубликатов ключей от замков и других запорных устройств входных дверей «Объекта», его помещений, запорных устройств входных дверей подъездов, холлов, несоответствия их кодов, а также в случае наличия у «Заказчика» внутри «Объекта» в охраняемое время животных, представляющих опасность для сотрудников «</w:t>
      </w:r>
      <w:r>
        <w:rPr>
          <w:sz w:val="25"/>
          <w:szCs w:val="25"/>
        </w:rPr>
        <w:t>Исполнителя</w:t>
      </w:r>
      <w:r>
        <w:rPr>
          <w:spacing w:val="-5"/>
          <w:sz w:val="25"/>
          <w:szCs w:val="25"/>
        </w:rPr>
        <w:t>».</w:t>
      </w:r>
    </w:p>
    <w:p>
      <w:pPr>
        <w:pStyle w:val="Normal"/>
        <w:widowControl/>
        <w:tabs>
          <w:tab w:val="clear" w:pos="708"/>
          <w:tab w:val="left" w:pos="1276" w:leader="none"/>
          <w:tab w:val="left" w:pos="1418" w:leader="none"/>
        </w:tabs>
        <w:ind w:firstLine="624"/>
        <w:jc w:val="both"/>
        <w:rPr>
          <w:sz w:val="25"/>
          <w:szCs w:val="25"/>
        </w:rPr>
      </w:pPr>
      <w:r>
        <w:rPr>
          <w:spacing w:val="-5"/>
          <w:sz w:val="25"/>
          <w:szCs w:val="25"/>
        </w:rPr>
        <w:t>7.7.5.</w:t>
        <w:tab/>
        <w:t xml:space="preserve">За кражу имущества, если она была совершена в период, когда охрана «Объекта» временно не могла осуществляться по техническим причинам, не зависящим от «Исполнителя» (неисправность или отключение интернета, электроэнергии, блокирование </w:t>
      </w:r>
      <w:r>
        <w:rPr>
          <w:spacing w:val="-5"/>
          <w:sz w:val="25"/>
          <w:szCs w:val="25"/>
          <w:lang w:val="en-US"/>
        </w:rPr>
        <w:t>SIM</w:t>
      </w:r>
      <w:r>
        <w:rPr>
          <w:spacing w:val="-5"/>
          <w:sz w:val="25"/>
          <w:szCs w:val="25"/>
        </w:rPr>
        <w:t xml:space="preserve">-карты). </w:t>
      </w:r>
    </w:p>
    <w:p>
      <w:pPr>
        <w:pStyle w:val="Normal"/>
        <w:widowControl/>
        <w:tabs>
          <w:tab w:val="clear" w:pos="708"/>
          <w:tab w:val="left" w:pos="1276" w:leader="none"/>
          <w:tab w:val="left" w:pos="1418" w:leader="none"/>
        </w:tabs>
        <w:ind w:firstLine="624"/>
        <w:jc w:val="both"/>
        <w:rPr>
          <w:sz w:val="25"/>
          <w:szCs w:val="25"/>
        </w:rPr>
      </w:pPr>
      <w:r>
        <w:rPr>
          <w:spacing w:val="-5"/>
          <w:sz w:val="25"/>
          <w:szCs w:val="25"/>
        </w:rPr>
        <w:t>7.7.6.</w:t>
        <w:tab/>
        <w:t>За кражу имущества из «Объекта», если она имела место вследствие невыполнения «Заказчиком» условий настоящего Договора.</w:t>
      </w:r>
    </w:p>
    <w:p>
      <w:pPr>
        <w:pStyle w:val="Normal"/>
        <w:widowControl/>
        <w:tabs>
          <w:tab w:val="clear" w:pos="708"/>
          <w:tab w:val="left" w:pos="1276" w:leader="none"/>
          <w:tab w:val="left" w:pos="1418" w:leader="none"/>
        </w:tabs>
        <w:ind w:firstLine="624"/>
        <w:jc w:val="both"/>
        <w:rPr>
          <w:sz w:val="25"/>
          <w:szCs w:val="25"/>
        </w:rPr>
      </w:pPr>
      <w:r>
        <w:rPr>
          <w:spacing w:val="-5"/>
          <w:sz w:val="25"/>
          <w:szCs w:val="25"/>
        </w:rPr>
        <w:t>7.7.7. За ущерб, причиненный имуществу на «Объекте» обстоятельствами непреодолимой силы, то есть пожаром, затоплением, авариями коммунальных сетей, стихийным бедствием, землетрясением и т.д., а также чрезвычайными обстоятельствами, возникшими помимо воли «</w:t>
      </w:r>
      <w:r>
        <w:rPr>
          <w:sz w:val="25"/>
          <w:szCs w:val="25"/>
        </w:rPr>
        <w:t>Исполнителя</w:t>
      </w:r>
      <w:r>
        <w:rPr>
          <w:spacing w:val="-5"/>
          <w:sz w:val="25"/>
          <w:szCs w:val="25"/>
        </w:rPr>
        <w:t>» и «Заказчика».</w:t>
      </w:r>
    </w:p>
    <w:p>
      <w:pPr>
        <w:pStyle w:val="Normal"/>
        <w:widowControl/>
        <w:tabs>
          <w:tab w:val="clear" w:pos="708"/>
          <w:tab w:val="left" w:pos="1276" w:leader="none"/>
          <w:tab w:val="left" w:pos="1418" w:leader="none"/>
        </w:tabs>
        <w:ind w:firstLine="624"/>
        <w:jc w:val="both"/>
        <w:rPr>
          <w:sz w:val="25"/>
          <w:szCs w:val="25"/>
        </w:rPr>
      </w:pPr>
      <w:r>
        <w:rPr>
          <w:spacing w:val="-5"/>
          <w:sz w:val="25"/>
          <w:szCs w:val="25"/>
        </w:rPr>
        <w:t>7.7.8.</w:t>
        <w:tab/>
        <w:t>За ущерб, связанный с уничтожением или повреждением имущества на «Объекте», за ущерб, причиненный конструкциям и деталям, расположенным по внешнему периметру «Объекта» (замки, двери, окна, остекленные конструкции, решетки).</w:t>
      </w:r>
    </w:p>
    <w:p>
      <w:pPr>
        <w:pStyle w:val="Normal"/>
        <w:widowControl/>
        <w:tabs>
          <w:tab w:val="clear" w:pos="708"/>
          <w:tab w:val="left" w:pos="1276" w:leader="none"/>
          <w:tab w:val="left" w:pos="1418" w:leader="none"/>
        </w:tabs>
        <w:ind w:firstLine="624"/>
        <w:jc w:val="both"/>
        <w:rPr>
          <w:sz w:val="25"/>
          <w:szCs w:val="25"/>
        </w:rPr>
      </w:pPr>
      <w:r>
        <w:rPr>
          <w:spacing w:val="-5"/>
          <w:sz w:val="25"/>
          <w:szCs w:val="25"/>
        </w:rPr>
        <w:t>7.7.9.</w:t>
        <w:tab/>
        <w:t>В случае задержания сотрудниками «</w:t>
      </w:r>
      <w:r>
        <w:rPr>
          <w:sz w:val="25"/>
          <w:szCs w:val="25"/>
        </w:rPr>
        <w:t>Исполнителя</w:t>
      </w:r>
      <w:r>
        <w:rPr>
          <w:spacing w:val="-5"/>
          <w:sz w:val="25"/>
          <w:szCs w:val="25"/>
        </w:rPr>
        <w:t>» и/или сотрудниками других служб правоохранительных органов лиц, совершивших кражу из «Объекта».</w:t>
      </w:r>
    </w:p>
    <w:p>
      <w:pPr>
        <w:pStyle w:val="Normal"/>
        <w:widowControl/>
        <w:tabs>
          <w:tab w:val="clear" w:pos="708"/>
          <w:tab w:val="left" w:pos="1418" w:leader="none"/>
          <w:tab w:val="left" w:pos="1474" w:leader="none"/>
        </w:tabs>
        <w:ind w:firstLine="624"/>
        <w:jc w:val="both"/>
        <w:rPr>
          <w:sz w:val="25"/>
          <w:szCs w:val="25"/>
        </w:rPr>
      </w:pPr>
      <w:r>
        <w:rPr>
          <w:spacing w:val="-5"/>
          <w:sz w:val="25"/>
          <w:szCs w:val="25"/>
        </w:rPr>
        <w:t>7.7.10.</w:t>
        <w:tab/>
        <w:t>За кражу имущества, его повреждение и уничтожение, если данные события стали следствием ненадлежащего исполнения обслуживающей ТСО организацией своих обязанностей по договору.</w:t>
      </w:r>
    </w:p>
    <w:p>
      <w:pPr>
        <w:pStyle w:val="Normal"/>
        <w:widowControl/>
        <w:tabs>
          <w:tab w:val="clear" w:pos="708"/>
          <w:tab w:val="left" w:pos="1418" w:leader="none"/>
        </w:tabs>
        <w:ind w:firstLine="624"/>
        <w:jc w:val="both"/>
        <w:rPr>
          <w:sz w:val="25"/>
          <w:szCs w:val="25"/>
        </w:rPr>
      </w:pPr>
      <w:r>
        <w:rPr>
          <w:spacing w:val="-5"/>
          <w:sz w:val="25"/>
          <w:szCs w:val="25"/>
        </w:rPr>
        <w:t>7.7.11.</w:t>
        <w:tab/>
        <w:t>За качество услуг по техническому обслуживанию ТСО, установленных на «Объекте».</w:t>
      </w:r>
    </w:p>
    <w:p>
      <w:pPr>
        <w:pStyle w:val="Normal"/>
        <w:widowControl/>
        <w:tabs>
          <w:tab w:val="clear" w:pos="708"/>
          <w:tab w:val="left" w:pos="1418" w:leader="none"/>
        </w:tabs>
        <w:ind w:firstLine="624"/>
        <w:jc w:val="both"/>
        <w:rPr>
          <w:sz w:val="25"/>
          <w:szCs w:val="25"/>
        </w:rPr>
      </w:pPr>
      <w:r>
        <w:rPr>
          <w:spacing w:val="-5"/>
          <w:sz w:val="25"/>
          <w:szCs w:val="25"/>
        </w:rPr>
        <w:t>7.7.12.</w:t>
        <w:tab/>
        <w:t>За кражу или ущерб, когда «</w:t>
      </w:r>
      <w:r>
        <w:rPr>
          <w:sz w:val="25"/>
          <w:szCs w:val="25"/>
        </w:rPr>
        <w:t>Исполнителем</w:t>
      </w:r>
      <w:r>
        <w:rPr>
          <w:spacing w:val="-5"/>
          <w:sz w:val="25"/>
          <w:szCs w:val="25"/>
        </w:rPr>
        <w:t>», в полной мере были исполнены все обязанности, предусмотренные данным Договором, но кража произошла в такие временные сроки, за которые прибытие ГЗ по сигналу «Тревога» и задержание преступников было невозможным.</w:t>
      </w:r>
    </w:p>
    <w:p>
      <w:pPr>
        <w:pStyle w:val="Normal"/>
        <w:widowControl/>
        <w:tabs>
          <w:tab w:val="clear" w:pos="708"/>
          <w:tab w:val="left" w:pos="1418" w:leader="none"/>
          <w:tab w:val="left" w:pos="1474" w:leader="none"/>
        </w:tabs>
        <w:ind w:firstLine="624"/>
        <w:jc w:val="both"/>
        <w:rPr>
          <w:spacing w:val="-7"/>
          <w:sz w:val="25"/>
          <w:szCs w:val="25"/>
        </w:rPr>
      </w:pPr>
      <w:r>
        <w:rPr>
          <w:spacing w:val="-2"/>
          <w:sz w:val="25"/>
          <w:szCs w:val="25"/>
        </w:rPr>
        <w:t>7.7.13.</w:t>
        <w:tab/>
        <w:t xml:space="preserve">За повреждение посторонними лицами дверей, окон, </w:t>
      </w:r>
      <w:r>
        <w:rPr>
          <w:spacing w:val="-5"/>
          <w:sz w:val="25"/>
          <w:szCs w:val="25"/>
        </w:rPr>
        <w:t xml:space="preserve">замков и других строительных конструкций «Объекта» в период его нахождения под централизованным </w:t>
      </w:r>
      <w:r>
        <w:rPr>
          <w:spacing w:val="-7"/>
          <w:sz w:val="25"/>
          <w:szCs w:val="25"/>
        </w:rPr>
        <w:t>наблюдением.</w:t>
      </w:r>
    </w:p>
    <w:p>
      <w:pPr>
        <w:pStyle w:val="Normal"/>
        <w:widowControl/>
        <w:tabs>
          <w:tab w:val="clear" w:pos="708"/>
          <w:tab w:val="left" w:pos="1418" w:leader="none"/>
          <w:tab w:val="left" w:pos="1474" w:leader="none"/>
        </w:tabs>
        <w:ind w:firstLine="624"/>
        <w:jc w:val="both"/>
        <w:rPr>
          <w:sz w:val="25"/>
          <w:szCs w:val="25"/>
        </w:rPr>
      </w:pPr>
      <w:r>
        <w:rPr>
          <w:spacing w:val="-7"/>
          <w:sz w:val="25"/>
          <w:szCs w:val="25"/>
        </w:rPr>
        <w:t>7.7.14.</w:t>
        <w:tab/>
        <w:t xml:space="preserve">За несвоевременную или некорректную доставку тревожных сообщений, связанную с загруженностью сотовой сети, сбоями работы серверов операторов сотовой связи с другими причинами, влияющими на устойчивую работу </w:t>
      </w:r>
      <w:r>
        <w:rPr>
          <w:spacing w:val="-7"/>
          <w:sz w:val="25"/>
          <w:szCs w:val="25"/>
          <w:lang w:val="en-US"/>
        </w:rPr>
        <w:t>GSM</w:t>
      </w:r>
      <w:r>
        <w:rPr>
          <w:spacing w:val="-7"/>
          <w:sz w:val="25"/>
          <w:szCs w:val="25"/>
        </w:rPr>
        <w:t>-канала связи.</w:t>
      </w:r>
    </w:p>
    <w:p>
      <w:pPr>
        <w:pStyle w:val="Normal"/>
        <w:widowControl/>
        <w:tabs>
          <w:tab w:val="clear" w:pos="708"/>
          <w:tab w:val="left" w:pos="1418" w:leader="none"/>
          <w:tab w:val="left" w:pos="1474" w:leader="none"/>
        </w:tabs>
        <w:ind w:firstLine="624"/>
        <w:jc w:val="both"/>
        <w:rPr>
          <w:sz w:val="25"/>
          <w:szCs w:val="25"/>
        </w:rPr>
      </w:pPr>
      <w:r>
        <w:rPr>
          <w:spacing w:val="-5"/>
          <w:sz w:val="25"/>
          <w:szCs w:val="25"/>
        </w:rPr>
        <w:t>7.7.15.</w:t>
        <w:tab/>
        <w:t>В других случаях, если «</w:t>
      </w:r>
      <w:r>
        <w:rPr>
          <w:sz w:val="25"/>
          <w:szCs w:val="25"/>
        </w:rPr>
        <w:t>Исполнитель</w:t>
      </w:r>
      <w:r>
        <w:rPr>
          <w:spacing w:val="-5"/>
          <w:sz w:val="25"/>
          <w:szCs w:val="25"/>
        </w:rPr>
        <w:t>» докажет отсутствие своей вины.</w:t>
      </w:r>
    </w:p>
    <w:p>
      <w:pPr>
        <w:pStyle w:val="Normal"/>
        <w:spacing w:before="500" w:after="0"/>
        <w:jc w:val="center"/>
        <w:rPr>
          <w:sz w:val="25"/>
          <w:szCs w:val="25"/>
        </w:rPr>
      </w:pPr>
      <w:r>
        <w:rPr>
          <w:b/>
          <w:bCs/>
          <w:sz w:val="25"/>
          <w:szCs w:val="25"/>
        </w:rPr>
        <w:t>8. ОТВЕТСТВЕННОСТЬ «ЗАКАЗЧИКА»</w:t>
      </w:r>
    </w:p>
    <w:p>
      <w:pPr>
        <w:pStyle w:val="Normal"/>
        <w:widowControl/>
        <w:tabs>
          <w:tab w:val="clear" w:pos="708"/>
          <w:tab w:val="left" w:pos="1418" w:leader="none"/>
        </w:tabs>
        <w:ind w:firstLine="567"/>
        <w:jc w:val="both"/>
        <w:rPr>
          <w:sz w:val="25"/>
          <w:szCs w:val="25"/>
        </w:rPr>
      </w:pPr>
      <w:r>
        <w:rPr>
          <w:spacing w:val="-7"/>
          <w:sz w:val="25"/>
          <w:szCs w:val="25"/>
        </w:rPr>
        <w:t>8.1.</w:t>
        <w:tab/>
        <w:t>«Заказчик» несет ответственность за достоверность предоставленных «</w:t>
      </w:r>
      <w:r>
        <w:rPr>
          <w:sz w:val="25"/>
          <w:szCs w:val="25"/>
        </w:rPr>
        <w:t>Исполнителю</w:t>
      </w:r>
      <w:r>
        <w:rPr>
          <w:spacing w:val="-7"/>
          <w:sz w:val="25"/>
          <w:szCs w:val="25"/>
        </w:rPr>
        <w:t>» данных.</w:t>
      </w:r>
    </w:p>
    <w:p>
      <w:pPr>
        <w:pStyle w:val="Normal"/>
        <w:widowControl/>
        <w:tabs>
          <w:tab w:val="clear" w:pos="708"/>
          <w:tab w:val="left" w:pos="1418" w:leader="none"/>
        </w:tabs>
        <w:ind w:firstLine="567"/>
        <w:jc w:val="both"/>
        <w:rPr>
          <w:sz w:val="25"/>
          <w:szCs w:val="25"/>
        </w:rPr>
      </w:pPr>
      <w:r>
        <w:rPr>
          <w:bCs/>
          <w:sz w:val="25"/>
          <w:szCs w:val="25"/>
        </w:rPr>
        <w:t>8.2.</w:t>
        <w:tab/>
        <w:t xml:space="preserve">«Заказчик» несет ответственность по выполнению условий настоящего </w:t>
      </w:r>
      <w:r>
        <w:rPr>
          <w:spacing w:val="-7"/>
          <w:sz w:val="25"/>
          <w:szCs w:val="25"/>
        </w:rPr>
        <w:t>Договора</w:t>
      </w:r>
      <w:r>
        <w:rPr>
          <w:bCs/>
          <w:sz w:val="25"/>
          <w:szCs w:val="25"/>
        </w:rPr>
        <w:t>, за действия членов его семьи, доверенных лиц, лиц, зарегистрированных по адресу «Объекта», иных лиц, имеющих доступ в охраняемый «Объект».</w:t>
      </w:r>
    </w:p>
    <w:p>
      <w:pPr>
        <w:pStyle w:val="Normal"/>
        <w:widowControl/>
        <w:tabs>
          <w:tab w:val="clear" w:pos="708"/>
          <w:tab w:val="left" w:pos="1418" w:leader="none"/>
        </w:tabs>
        <w:ind w:firstLine="567"/>
        <w:jc w:val="both"/>
        <w:rPr>
          <w:sz w:val="25"/>
          <w:szCs w:val="25"/>
        </w:rPr>
      </w:pPr>
      <w:r>
        <w:rPr>
          <w:bCs/>
          <w:sz w:val="25"/>
          <w:szCs w:val="25"/>
        </w:rPr>
        <w:t>8.3.</w:t>
        <w:tab/>
        <w:t>При выполнении монтажных работ по разводке соединительных кабелей в скрытом исполнении «Заказчик» несет ответственность за техническое состояние соединительных линий, а так же работоспособность ТСО на срок действия Договора. В случае выявленных скрытых дефектов или повреждения кабеля «Заказчик» обязан устранить их за свой счет.</w:t>
      </w:r>
    </w:p>
    <w:p>
      <w:pPr>
        <w:pStyle w:val="Normal"/>
        <w:spacing w:before="500" w:after="0"/>
        <w:ind w:left="357" w:hanging="0"/>
        <w:jc w:val="center"/>
        <w:rPr>
          <w:sz w:val="25"/>
          <w:szCs w:val="25"/>
        </w:rPr>
      </w:pPr>
      <w:r>
        <w:rPr>
          <w:b/>
          <w:bCs/>
          <w:sz w:val="25"/>
          <w:szCs w:val="25"/>
        </w:rPr>
        <w:t>9. ОБСТОЯТЕЛЬСТВА НЕПРЕОДОЛИМОЙ СИЛЫ</w:t>
      </w:r>
    </w:p>
    <w:p>
      <w:pPr>
        <w:pStyle w:val="Normal"/>
        <w:shd w:val="clear" w:color="auto" w:fill="FFFFFF"/>
        <w:tabs>
          <w:tab w:val="clear" w:pos="708"/>
          <w:tab w:val="left" w:pos="1418" w:leader="none"/>
        </w:tabs>
        <w:ind w:firstLine="709"/>
        <w:jc w:val="both"/>
        <w:rPr>
          <w:sz w:val="25"/>
          <w:szCs w:val="25"/>
        </w:rPr>
      </w:pPr>
      <w:r>
        <w:rPr>
          <w:sz w:val="25"/>
          <w:szCs w:val="25"/>
        </w:rPr>
        <w:t>9.1.</w:t>
        <w:tab/>
        <w:t xml:space="preserve">«Стороны» освобождаются от ответственности за полное или частичное неисполнение </w:t>
      </w:r>
      <w:r>
        <w:rPr>
          <w:bCs/>
          <w:sz w:val="25"/>
          <w:szCs w:val="25"/>
        </w:rPr>
        <w:t>своих</w:t>
      </w:r>
      <w:r>
        <w:rPr>
          <w:sz w:val="25"/>
          <w:szCs w:val="25"/>
        </w:rPr>
        <w:t xml:space="preserve"> обязательств по настоящему Договору в случае, если оно явилось следствием обстоятельств непреодолимой силы, а именно: наводнения, землетрясения, диверсии, военных действий, блокад и т.д., препятствующих надлежащему исполнению обязательств по настоящему Договору, и других чрезвычайных обстоятельств, которые возникли после заключения настоящего Договора и непосредственно повлияли на исполнение «Сторонами» своих обязательств, а также которые «Стороны» были не в состоянии предвидеть и предотвратить.</w:t>
      </w:r>
    </w:p>
    <w:p>
      <w:pPr>
        <w:pStyle w:val="Normal"/>
        <w:shd w:val="clear" w:color="auto" w:fill="FFFFFF"/>
        <w:tabs>
          <w:tab w:val="clear" w:pos="708"/>
          <w:tab w:val="left" w:pos="1418" w:leader="none"/>
        </w:tabs>
        <w:ind w:firstLine="709"/>
        <w:jc w:val="both"/>
        <w:rPr>
          <w:sz w:val="25"/>
          <w:szCs w:val="25"/>
        </w:rPr>
      </w:pPr>
      <w:r>
        <w:rPr>
          <w:sz w:val="25"/>
          <w:szCs w:val="25"/>
        </w:rPr>
        <w:t>9.2.</w:t>
        <w:tab/>
        <w:t xml:space="preserve">При наступлении обстоятельств непреодолимой силы, срок исполнения обязательств по настоящему Договору увеличивается соразмерно времени действия данных обстоятельств постольку, </w:t>
      </w:r>
      <w:r>
        <w:rPr>
          <w:bCs/>
          <w:sz w:val="25"/>
          <w:szCs w:val="25"/>
        </w:rPr>
        <w:t>поскольку</w:t>
      </w:r>
      <w:r>
        <w:rPr>
          <w:sz w:val="25"/>
          <w:szCs w:val="25"/>
        </w:rPr>
        <w:t xml:space="preserve"> эти обстоятельства значительно влияют на исполнение настоящего Договора в срок.</w:t>
      </w:r>
    </w:p>
    <w:p>
      <w:pPr>
        <w:pStyle w:val="Normal"/>
        <w:shd w:val="clear" w:color="auto" w:fill="FFFFFF"/>
        <w:tabs>
          <w:tab w:val="clear" w:pos="708"/>
          <w:tab w:val="left" w:pos="1418" w:leader="none"/>
        </w:tabs>
        <w:ind w:firstLine="709"/>
        <w:jc w:val="both"/>
        <w:rPr>
          <w:sz w:val="25"/>
          <w:szCs w:val="25"/>
        </w:rPr>
      </w:pPr>
      <w:r>
        <w:rPr>
          <w:sz w:val="25"/>
          <w:szCs w:val="25"/>
        </w:rPr>
        <w:t>9.3.</w:t>
        <w:tab/>
        <w:t xml:space="preserve">«Сторона», для которой надлежащее исполнение обязательств оказалось невозможным </w:t>
      </w:r>
      <w:r>
        <w:rPr>
          <w:bCs/>
          <w:sz w:val="25"/>
          <w:szCs w:val="25"/>
        </w:rPr>
        <w:t>вследствие</w:t>
      </w:r>
      <w:r>
        <w:rPr>
          <w:sz w:val="25"/>
          <w:szCs w:val="25"/>
        </w:rPr>
        <w:t xml:space="preserve"> возникновения обстоятельств непреодолимой силы, обязана в течение 3 (трех) календарных дней с даты возникновения таких обстоятельств уведомить всеми доступными способами другую «Сторону» об их возникновении, виде и возможной продолжительности действия.</w:t>
      </w:r>
    </w:p>
    <w:p>
      <w:pPr>
        <w:pStyle w:val="Normal"/>
        <w:shd w:val="clear" w:color="auto" w:fill="FFFFFF"/>
        <w:tabs>
          <w:tab w:val="clear" w:pos="708"/>
          <w:tab w:val="left" w:pos="1418" w:leader="none"/>
        </w:tabs>
        <w:ind w:firstLine="709"/>
        <w:jc w:val="both"/>
        <w:rPr>
          <w:sz w:val="25"/>
          <w:szCs w:val="25"/>
        </w:rPr>
      </w:pPr>
      <w:r>
        <w:rPr>
          <w:sz w:val="25"/>
          <w:szCs w:val="25"/>
        </w:rPr>
        <w:t>9.4.</w:t>
        <w:tab/>
        <w:t xml:space="preserve">Если </w:t>
      </w:r>
      <w:r>
        <w:rPr>
          <w:bCs/>
          <w:sz w:val="25"/>
          <w:szCs w:val="25"/>
        </w:rPr>
        <w:t>обстоятельства</w:t>
      </w:r>
      <w:r>
        <w:rPr>
          <w:sz w:val="25"/>
          <w:szCs w:val="25"/>
        </w:rPr>
        <w:t>, указанные в пункте 9.1 настоящего Договора, будут длиться более 5 (пяти) календарных дней с даты соответствующего уведомления, каждая из «Сторон» вправе расторгнуть настоящий Договор без предъявления требования о возмещении убытков, понесенных в связи с наступлением таких обстоятельств.</w:t>
      </w:r>
    </w:p>
    <w:p>
      <w:pPr>
        <w:pStyle w:val="Normal"/>
        <w:spacing w:before="500" w:after="0"/>
        <w:jc w:val="center"/>
        <w:rPr>
          <w:sz w:val="25"/>
          <w:szCs w:val="25"/>
        </w:rPr>
      </w:pPr>
      <w:r>
        <w:rPr>
          <w:b/>
          <w:bCs/>
          <w:sz w:val="25"/>
          <w:szCs w:val="25"/>
        </w:rPr>
        <w:t>10. ПОРЯДОК РАСЧЕТОВ И РАЗРЕШЕНИЯ СПОРОВ</w:t>
      </w:r>
    </w:p>
    <w:p>
      <w:pPr>
        <w:pStyle w:val="Normal"/>
        <w:widowControl/>
        <w:tabs>
          <w:tab w:val="clear" w:pos="708"/>
          <w:tab w:val="left" w:pos="1418" w:leader="none"/>
        </w:tabs>
        <w:ind w:firstLine="709"/>
        <w:jc w:val="both"/>
        <w:rPr>
          <w:sz w:val="25"/>
          <w:szCs w:val="25"/>
        </w:rPr>
      </w:pPr>
      <w:r>
        <w:rPr>
          <w:sz w:val="25"/>
          <w:szCs w:val="25"/>
        </w:rPr>
        <w:t>10.1.</w:t>
        <w:tab/>
        <w:t xml:space="preserve">Стоимость услуг оказываемых «Исполнителем» указывается в Приложении № 1 к </w:t>
      </w:r>
      <w:r>
        <w:rPr>
          <w:spacing w:val="-7"/>
          <w:sz w:val="25"/>
          <w:szCs w:val="25"/>
        </w:rPr>
        <w:t>настоящему</w:t>
      </w:r>
      <w:r>
        <w:rPr>
          <w:sz w:val="25"/>
          <w:szCs w:val="25"/>
        </w:rPr>
        <w:t xml:space="preserve"> Договору и устанавливается «Исполнителем».</w:t>
      </w:r>
    </w:p>
    <w:p>
      <w:pPr>
        <w:pStyle w:val="Normal"/>
        <w:widowControl/>
        <w:tabs>
          <w:tab w:val="clear" w:pos="708"/>
          <w:tab w:val="left" w:pos="1418" w:leader="none"/>
        </w:tabs>
        <w:ind w:firstLine="709"/>
        <w:jc w:val="both"/>
        <w:rPr>
          <w:sz w:val="25"/>
          <w:szCs w:val="25"/>
        </w:rPr>
      </w:pPr>
      <w:r>
        <w:rPr>
          <w:sz w:val="25"/>
          <w:szCs w:val="25"/>
        </w:rPr>
        <w:t>10.2.</w:t>
        <w:tab/>
      </w:r>
      <w:r>
        <w:rPr>
          <w:spacing w:val="-7"/>
          <w:sz w:val="25"/>
          <w:szCs w:val="25"/>
        </w:rPr>
        <w:t>Оплата</w:t>
      </w:r>
      <w:r>
        <w:rPr>
          <w:sz w:val="25"/>
          <w:szCs w:val="25"/>
        </w:rPr>
        <w:t xml:space="preserve"> услуг по Приложению № 1, предоставляемых «Исполнителем», производится «Заказчиком» через банк или наличными денежными средствами, которые вносятся в кассу «Исполнителя» в следующем порядке:</w:t>
      </w:r>
    </w:p>
    <w:p>
      <w:pPr>
        <w:pStyle w:val="Normal"/>
        <w:widowControl/>
        <w:tabs>
          <w:tab w:val="clear" w:pos="708"/>
          <w:tab w:val="left" w:pos="1560" w:leader="none"/>
        </w:tabs>
        <w:ind w:firstLine="709"/>
        <w:jc w:val="both"/>
        <w:rPr>
          <w:sz w:val="25"/>
          <w:szCs w:val="25"/>
        </w:rPr>
      </w:pPr>
      <w:r>
        <w:rPr>
          <w:sz w:val="25"/>
          <w:szCs w:val="25"/>
        </w:rPr>
        <w:t>10.2.1.</w:t>
        <w:tab/>
        <w:t>За охрану «Объекта» – ежемесячно, независимо от фактического времени нахождения «Объекта» под охраной, «</w:t>
      </w:r>
      <w:r>
        <w:rPr>
          <w:spacing w:val="-7"/>
          <w:sz w:val="25"/>
          <w:szCs w:val="25"/>
        </w:rPr>
        <w:t>Заказчик</w:t>
      </w:r>
      <w:r>
        <w:rPr>
          <w:sz w:val="25"/>
          <w:szCs w:val="25"/>
        </w:rPr>
        <w:t xml:space="preserve">» вносит абонентскую плату в соответствии с Приложением № 1, не позднее 15 числа текущего месяца. </w:t>
      </w:r>
    </w:p>
    <w:p>
      <w:pPr>
        <w:pStyle w:val="Normal"/>
        <w:widowControl/>
        <w:tabs>
          <w:tab w:val="clear" w:pos="708"/>
          <w:tab w:val="left" w:pos="1560" w:leader="none"/>
        </w:tabs>
        <w:ind w:firstLine="709"/>
        <w:jc w:val="both"/>
        <w:rPr>
          <w:sz w:val="25"/>
          <w:szCs w:val="25"/>
        </w:rPr>
      </w:pPr>
      <w:r>
        <w:rPr>
          <w:sz w:val="25"/>
          <w:szCs w:val="25"/>
        </w:rPr>
        <w:t>10.2.2.</w:t>
        <w:tab/>
        <w:t xml:space="preserve">За ложный выезд ГЗ на «Объект» по вине «Заказчика», членов его семьи, доверенного лица, лиц, </w:t>
      </w:r>
      <w:r>
        <w:rPr>
          <w:spacing w:val="-7"/>
          <w:sz w:val="25"/>
          <w:szCs w:val="25"/>
        </w:rPr>
        <w:t>зарегистрированных</w:t>
      </w:r>
      <w:r>
        <w:rPr>
          <w:sz w:val="25"/>
          <w:szCs w:val="25"/>
        </w:rPr>
        <w:t xml:space="preserve"> по адресу «Объекта», иных лиц, имеющих доступ в охраняемый «Объект», оплата понесенных «Исполнителем» расходов осуществляется «Заказчиком» одновременно с оплатой услуг охраны (на основании соответствующего счета или включенных в основной счет).</w:t>
      </w:r>
    </w:p>
    <w:p>
      <w:pPr>
        <w:pStyle w:val="Normal"/>
        <w:widowControl/>
        <w:tabs>
          <w:tab w:val="clear" w:pos="708"/>
          <w:tab w:val="left" w:pos="1418" w:leader="none"/>
        </w:tabs>
        <w:ind w:firstLine="709"/>
        <w:jc w:val="both"/>
        <w:rPr>
          <w:sz w:val="25"/>
          <w:szCs w:val="25"/>
        </w:rPr>
      </w:pPr>
      <w:r>
        <w:rPr>
          <w:sz w:val="25"/>
          <w:szCs w:val="25"/>
        </w:rPr>
        <w:t>10.3.</w:t>
        <w:tab/>
        <w:t xml:space="preserve">Расчеты за услуги «Исполнителя» производятся в соответствии с Приложением № 1 к </w:t>
      </w:r>
      <w:r>
        <w:rPr>
          <w:spacing w:val="-7"/>
          <w:sz w:val="25"/>
          <w:szCs w:val="25"/>
        </w:rPr>
        <w:t>настоящему</w:t>
      </w:r>
      <w:r>
        <w:rPr>
          <w:sz w:val="25"/>
          <w:szCs w:val="25"/>
        </w:rPr>
        <w:t xml:space="preserve"> Договору. Тарифы на услуги охраны утверждаются «Исполнителем». При изменении тарифов на услуги «Охраны», Приложение № 1 к настоящему Договору может не переоформляться, если «Заказчик» не меняет минимальной суммы оценки имущества, установленной «Исполнителем». При этом установленная «Исполнителем» цена на услуги, начинает действовать в отношении «Заказчика» с момента введения новых тарифов. В случае оценки имущества «Заказчиком» сверх минимальной суммы, установленной «Исполнителем», Приложение № 1 к настоящему Договору подлежит переоформлению.</w:t>
      </w:r>
    </w:p>
    <w:p>
      <w:pPr>
        <w:pStyle w:val="Normal"/>
        <w:widowControl/>
        <w:tabs>
          <w:tab w:val="clear" w:pos="708"/>
          <w:tab w:val="left" w:pos="1418" w:leader="none"/>
        </w:tabs>
        <w:ind w:firstLine="709"/>
        <w:jc w:val="both"/>
        <w:rPr>
          <w:sz w:val="25"/>
          <w:szCs w:val="25"/>
        </w:rPr>
      </w:pPr>
      <w:r>
        <w:rPr>
          <w:sz w:val="25"/>
          <w:szCs w:val="25"/>
        </w:rPr>
        <w:t>10.4.</w:t>
        <w:tab/>
        <w:t>Информирование «Заказчика» об изменения тарифов на услуги охраны осуществляется любым доступным способом через средства массовой информации, посредством сети Интернет, иными способами передачи информации, а также при помощи информационного стенда на 1 этаже в здании по адресу: г. Екатеринбург, ______________________________________. В случае неполучения от «Заказчика» мотивированных возражений, тариф считается принятым «Заказчиком» и услуги «Исполнителя» подлежат оплате по новому тарифу.</w:t>
      </w:r>
    </w:p>
    <w:p>
      <w:pPr>
        <w:pStyle w:val="Normal"/>
        <w:widowControl/>
        <w:tabs>
          <w:tab w:val="clear" w:pos="708"/>
          <w:tab w:val="left" w:pos="1418" w:leader="none"/>
        </w:tabs>
        <w:ind w:firstLine="709"/>
        <w:jc w:val="both"/>
        <w:rPr>
          <w:sz w:val="25"/>
          <w:szCs w:val="25"/>
        </w:rPr>
      </w:pPr>
      <w:r>
        <w:rPr>
          <w:sz w:val="25"/>
          <w:szCs w:val="25"/>
        </w:rPr>
        <w:t>10.5.</w:t>
        <w:tab/>
        <w:t xml:space="preserve">При </w:t>
      </w:r>
      <w:r>
        <w:rPr>
          <w:spacing w:val="-7"/>
          <w:sz w:val="25"/>
          <w:szCs w:val="25"/>
        </w:rPr>
        <w:t>расторжении</w:t>
      </w:r>
      <w:r>
        <w:rPr>
          <w:sz w:val="25"/>
          <w:szCs w:val="25"/>
        </w:rPr>
        <w:t xml:space="preserve"> настоящего Договора:</w:t>
      </w:r>
    </w:p>
    <w:p>
      <w:pPr>
        <w:pStyle w:val="Normal"/>
        <w:widowControl/>
        <w:tabs>
          <w:tab w:val="clear" w:pos="708"/>
          <w:tab w:val="left" w:pos="1560" w:leader="none"/>
        </w:tabs>
        <w:ind w:firstLine="709"/>
        <w:jc w:val="both"/>
        <w:rPr>
          <w:sz w:val="25"/>
          <w:szCs w:val="25"/>
        </w:rPr>
      </w:pPr>
      <w:r>
        <w:rPr>
          <w:sz w:val="25"/>
          <w:szCs w:val="25"/>
        </w:rPr>
        <w:t>10.5.1.</w:t>
        <w:tab/>
        <w:t>Абонентская плата взимается пропорционально календарным дням действия Договора (включая день расторжения).</w:t>
      </w:r>
    </w:p>
    <w:p>
      <w:pPr>
        <w:pStyle w:val="Normal"/>
        <w:widowControl/>
        <w:tabs>
          <w:tab w:val="clear" w:pos="708"/>
          <w:tab w:val="left" w:pos="1560" w:leader="none"/>
        </w:tabs>
        <w:ind w:firstLine="709"/>
        <w:jc w:val="both"/>
        <w:rPr>
          <w:sz w:val="25"/>
          <w:szCs w:val="25"/>
        </w:rPr>
      </w:pPr>
      <w:r>
        <w:rPr>
          <w:sz w:val="25"/>
          <w:szCs w:val="25"/>
        </w:rPr>
        <w:t>10.5.2.</w:t>
        <w:tab/>
        <w:t xml:space="preserve">«Заказчику» возвращается внесенная авансом абонентская </w:t>
      </w:r>
      <w:r>
        <w:rPr>
          <w:spacing w:val="-7"/>
          <w:sz w:val="25"/>
          <w:szCs w:val="25"/>
        </w:rPr>
        <w:t>плата</w:t>
      </w:r>
      <w:r>
        <w:rPr>
          <w:sz w:val="25"/>
          <w:szCs w:val="25"/>
        </w:rPr>
        <w:t xml:space="preserve"> за услуги «Исполнителя» в течение 30 дней на основании заявления.</w:t>
      </w:r>
    </w:p>
    <w:p>
      <w:pPr>
        <w:pStyle w:val="Normal"/>
        <w:widowControl/>
        <w:tabs>
          <w:tab w:val="clear" w:pos="708"/>
          <w:tab w:val="left" w:pos="1418" w:leader="none"/>
        </w:tabs>
        <w:ind w:firstLine="709"/>
        <w:jc w:val="both"/>
        <w:rPr>
          <w:sz w:val="25"/>
          <w:szCs w:val="25"/>
        </w:rPr>
      </w:pPr>
      <w:r>
        <w:rPr>
          <w:sz w:val="25"/>
          <w:szCs w:val="25"/>
        </w:rPr>
        <w:t>10.6.</w:t>
        <w:tab/>
        <w:t xml:space="preserve">Вина «Исполнителя» в допущении кражи из охраняемого «Объекта» по настоящему </w:t>
      </w:r>
      <w:r>
        <w:rPr>
          <w:spacing w:val="-7"/>
          <w:sz w:val="25"/>
          <w:szCs w:val="25"/>
        </w:rPr>
        <w:t>Договору</w:t>
      </w:r>
      <w:r>
        <w:rPr>
          <w:sz w:val="25"/>
          <w:szCs w:val="25"/>
        </w:rPr>
        <w:t xml:space="preserve"> устанавливается судом.</w:t>
      </w:r>
    </w:p>
    <w:p>
      <w:pPr>
        <w:pStyle w:val="Normal"/>
        <w:widowControl/>
        <w:tabs>
          <w:tab w:val="clear" w:pos="708"/>
          <w:tab w:val="left" w:pos="1418" w:leader="none"/>
        </w:tabs>
        <w:ind w:firstLine="709"/>
        <w:jc w:val="both"/>
        <w:rPr>
          <w:sz w:val="25"/>
          <w:szCs w:val="25"/>
        </w:rPr>
      </w:pPr>
      <w:r>
        <w:rPr>
          <w:sz w:val="25"/>
          <w:szCs w:val="25"/>
        </w:rPr>
        <w:t>10.7.</w:t>
        <w:tab/>
        <w:t>Возмещение ущерба, причиненного кражей, производится  по письменному заявлению «</w:t>
      </w:r>
      <w:r>
        <w:rPr>
          <w:spacing w:val="-7"/>
          <w:sz w:val="25"/>
          <w:szCs w:val="25"/>
        </w:rPr>
        <w:t>Заказчика</w:t>
      </w:r>
      <w:r>
        <w:rPr>
          <w:sz w:val="25"/>
          <w:szCs w:val="25"/>
        </w:rPr>
        <w:t>» в месячный срок по предъявлении исполнительного листа.</w:t>
      </w:r>
    </w:p>
    <w:p>
      <w:pPr>
        <w:pStyle w:val="Normal"/>
        <w:widowControl/>
        <w:tabs>
          <w:tab w:val="clear" w:pos="708"/>
          <w:tab w:val="left" w:pos="1418" w:leader="none"/>
        </w:tabs>
        <w:ind w:firstLine="709"/>
        <w:jc w:val="both"/>
        <w:rPr>
          <w:sz w:val="25"/>
          <w:szCs w:val="25"/>
        </w:rPr>
      </w:pPr>
      <w:r>
        <w:rPr>
          <w:sz w:val="25"/>
          <w:szCs w:val="25"/>
        </w:rPr>
        <w:t>10.8.</w:t>
        <w:tab/>
        <w:t xml:space="preserve">Ущербом от кражи считается стоимость похищенного из «Объекта» имущества (с учетом износа), исходя из розничных цен, действующих на день принятия решения о его возмещении. Если на отдельные предметы не имеется розничных цен, то их </w:t>
      </w:r>
      <w:r>
        <w:rPr>
          <w:spacing w:val="-7"/>
          <w:sz w:val="25"/>
          <w:szCs w:val="25"/>
        </w:rPr>
        <w:t>стоимость</w:t>
      </w:r>
      <w:r>
        <w:rPr>
          <w:sz w:val="25"/>
          <w:szCs w:val="25"/>
        </w:rPr>
        <w:t xml:space="preserve"> определяется применительно к действующим ценам на одноименные предметы, но не более суммы оговоренной сторонами и указанной в Приложение № 1 к настоящему Договору.</w:t>
      </w:r>
    </w:p>
    <w:p>
      <w:pPr>
        <w:pStyle w:val="Normal"/>
        <w:widowControl/>
        <w:tabs>
          <w:tab w:val="clear" w:pos="708"/>
          <w:tab w:val="left" w:pos="1418" w:leader="none"/>
        </w:tabs>
        <w:ind w:firstLine="709"/>
        <w:jc w:val="both"/>
        <w:rPr>
          <w:sz w:val="25"/>
          <w:szCs w:val="25"/>
        </w:rPr>
      </w:pPr>
      <w:r>
        <w:rPr>
          <w:sz w:val="25"/>
          <w:szCs w:val="25"/>
        </w:rPr>
        <w:t>10.9.</w:t>
        <w:tab/>
        <w:t xml:space="preserve">В случае задержания «Исполнителем» посторонних лиц на «Объекте» или задержания </w:t>
      </w:r>
      <w:r>
        <w:rPr>
          <w:spacing w:val="-7"/>
          <w:sz w:val="25"/>
          <w:szCs w:val="25"/>
        </w:rPr>
        <w:t>лиц</w:t>
      </w:r>
      <w:r>
        <w:rPr>
          <w:sz w:val="25"/>
          <w:szCs w:val="25"/>
        </w:rPr>
        <w:t>, совершивших кражу имущества из «Объекта», другими службами правоохранительных органов, при возникновении у «Заказчика» материальных претензий, он предъявляет их непосредственно к этим лицам.</w:t>
      </w:r>
    </w:p>
    <w:p>
      <w:pPr>
        <w:pStyle w:val="Normal"/>
        <w:widowControl/>
        <w:tabs>
          <w:tab w:val="clear" w:pos="708"/>
          <w:tab w:val="left" w:pos="1418" w:leader="none"/>
        </w:tabs>
        <w:ind w:firstLine="709"/>
        <w:jc w:val="both"/>
        <w:rPr>
          <w:sz w:val="25"/>
          <w:szCs w:val="25"/>
        </w:rPr>
      </w:pPr>
      <w:r>
        <w:rPr>
          <w:sz w:val="25"/>
          <w:szCs w:val="25"/>
        </w:rPr>
        <w:t>10.10.</w:t>
        <w:tab/>
      </w:r>
      <w:r>
        <w:rPr>
          <w:spacing w:val="-7"/>
          <w:sz w:val="25"/>
          <w:szCs w:val="25"/>
        </w:rPr>
        <w:t>Возврат</w:t>
      </w:r>
      <w:r>
        <w:rPr>
          <w:sz w:val="25"/>
          <w:szCs w:val="25"/>
        </w:rPr>
        <w:t xml:space="preserve"> «Заказчику» похищенного из «Объекта» имущества, изъятого правоохранительными органами у лиц, совершивших кражу, производится этими органами и судом в установленном законом порядке. </w:t>
      </w:r>
    </w:p>
    <w:p>
      <w:pPr>
        <w:pStyle w:val="Normal"/>
        <w:widowControl/>
        <w:tabs>
          <w:tab w:val="clear" w:pos="708"/>
          <w:tab w:val="left" w:pos="1418" w:leader="none"/>
        </w:tabs>
        <w:ind w:firstLine="709"/>
        <w:jc w:val="both"/>
        <w:rPr>
          <w:sz w:val="25"/>
          <w:szCs w:val="25"/>
        </w:rPr>
      </w:pPr>
      <w:r>
        <w:rPr>
          <w:sz w:val="25"/>
          <w:szCs w:val="25"/>
        </w:rPr>
        <w:t>10.11.</w:t>
        <w:tab/>
        <w:t xml:space="preserve">При возвращении «Заказчику» похищенного из «Объекта» имущества «Заказчик» в </w:t>
      </w:r>
      <w:r>
        <w:rPr>
          <w:spacing w:val="-7"/>
          <w:sz w:val="25"/>
          <w:szCs w:val="25"/>
        </w:rPr>
        <w:t>течение</w:t>
      </w:r>
      <w:r>
        <w:rPr>
          <w:sz w:val="25"/>
          <w:szCs w:val="25"/>
        </w:rPr>
        <w:t xml:space="preserve"> 30 дней выплачивает «Исполнителю» его стоимость из общей суммы, полученной в порядке возмещения ущерба от кражи из «Объекта».</w:t>
      </w:r>
    </w:p>
    <w:p>
      <w:pPr>
        <w:pStyle w:val="Normal"/>
        <w:widowControl/>
        <w:tabs>
          <w:tab w:val="clear" w:pos="708"/>
          <w:tab w:val="left" w:pos="1418" w:leader="none"/>
        </w:tabs>
        <w:ind w:firstLine="709"/>
        <w:jc w:val="both"/>
        <w:rPr>
          <w:sz w:val="25"/>
          <w:szCs w:val="25"/>
        </w:rPr>
      </w:pPr>
      <w:r>
        <w:rPr>
          <w:sz w:val="25"/>
          <w:szCs w:val="25"/>
        </w:rPr>
        <w:t>10.12.</w:t>
        <w:tab/>
        <w:t>Размер возмещения «Исполнителю» ущерба уменьшается на 50 %, если неисполнение или ненадлежащее исполнение обязательств, приведшее к краже  имущества из «Объекта», произошло по вине обеих сторон Договора. Размер возмещения ущерба «Исполнителем» уменьшается на 50 %, если «Заказчик», члены его семьи или доверенные лица, лица, проживающие на «Объекте», иные лица, имеющие доступ в охраняемый «Объект» умышленно или по неосторожности содействовали увеличению размера ущерба, причинённого неисполнением или ненадлежащим исполнением условий Договора, либо не приняли мер к их уменьшению.</w:t>
      </w:r>
    </w:p>
    <w:p>
      <w:pPr>
        <w:pStyle w:val="Normal"/>
        <w:widowControl/>
        <w:tabs>
          <w:tab w:val="clear" w:pos="708"/>
          <w:tab w:val="left" w:pos="1418" w:leader="none"/>
        </w:tabs>
        <w:ind w:firstLine="709"/>
        <w:jc w:val="both"/>
        <w:rPr>
          <w:sz w:val="25"/>
          <w:szCs w:val="25"/>
        </w:rPr>
      </w:pPr>
      <w:r>
        <w:rPr>
          <w:sz w:val="25"/>
          <w:szCs w:val="25"/>
        </w:rPr>
        <w:t>10.13.</w:t>
        <w:tab/>
        <w:t>В случае полного или частичного отказа от возмещения ущерба, «Исполнитель» письменно уведомляет об этом «Заказчика» с указанием причин.</w:t>
      </w:r>
    </w:p>
    <w:p>
      <w:pPr>
        <w:pStyle w:val="Normal"/>
        <w:widowControl/>
        <w:tabs>
          <w:tab w:val="clear" w:pos="708"/>
          <w:tab w:val="left" w:pos="1418" w:leader="none"/>
        </w:tabs>
        <w:ind w:firstLine="709"/>
        <w:jc w:val="both"/>
        <w:rPr>
          <w:sz w:val="25"/>
          <w:szCs w:val="25"/>
        </w:rPr>
      </w:pPr>
      <w:r>
        <w:rPr>
          <w:sz w:val="25"/>
          <w:szCs w:val="25"/>
        </w:rPr>
        <w:t>10.14.</w:t>
        <w:tab/>
        <w:t xml:space="preserve">«Исполнитель» не возмещает ущерб за поврежденные посторонними лицами </w:t>
      </w:r>
      <w:r>
        <w:rPr>
          <w:spacing w:val="-7"/>
          <w:sz w:val="25"/>
          <w:szCs w:val="25"/>
        </w:rPr>
        <w:t>инженерные</w:t>
      </w:r>
      <w:r>
        <w:rPr>
          <w:sz w:val="25"/>
          <w:szCs w:val="25"/>
        </w:rPr>
        <w:t xml:space="preserve"> конструкции, двери, замки, окна, пытавшимися проникнуть на «Объект».</w:t>
      </w:r>
    </w:p>
    <w:p>
      <w:pPr>
        <w:pStyle w:val="Normal"/>
        <w:widowControl/>
        <w:tabs>
          <w:tab w:val="clear" w:pos="708"/>
          <w:tab w:val="left" w:pos="1418" w:leader="none"/>
        </w:tabs>
        <w:ind w:firstLine="709"/>
        <w:jc w:val="both"/>
        <w:rPr>
          <w:sz w:val="25"/>
          <w:szCs w:val="25"/>
        </w:rPr>
      </w:pPr>
      <w:r>
        <w:rPr>
          <w:sz w:val="25"/>
          <w:szCs w:val="25"/>
        </w:rPr>
        <w:t>10.15.</w:t>
        <w:tab/>
        <w:t>Все споры по настоящему Договору разрешаются «Сторонами» путем переговоров.</w:t>
      </w:r>
    </w:p>
    <w:p>
      <w:pPr>
        <w:pStyle w:val="Normal"/>
        <w:widowControl/>
        <w:tabs>
          <w:tab w:val="clear" w:pos="708"/>
          <w:tab w:val="left" w:pos="1418" w:leader="none"/>
        </w:tabs>
        <w:ind w:firstLine="709"/>
        <w:jc w:val="both"/>
        <w:rPr>
          <w:sz w:val="25"/>
          <w:szCs w:val="25"/>
        </w:rPr>
      </w:pPr>
      <w:r>
        <w:rPr>
          <w:sz w:val="25"/>
          <w:szCs w:val="25"/>
        </w:rPr>
        <w:t>10.16.</w:t>
        <w:tab/>
        <w:t xml:space="preserve">В </w:t>
      </w:r>
      <w:r>
        <w:rPr>
          <w:spacing w:val="-7"/>
          <w:sz w:val="25"/>
          <w:szCs w:val="25"/>
        </w:rPr>
        <w:t>случае</w:t>
      </w:r>
      <w:r>
        <w:rPr>
          <w:sz w:val="25"/>
          <w:szCs w:val="25"/>
        </w:rPr>
        <w:t xml:space="preserve"> не достижения соглашения споры решаются в порядке, установленном законодательством Российской Федерации.</w:t>
      </w:r>
    </w:p>
    <w:p>
      <w:pPr>
        <w:pStyle w:val="Normal"/>
        <w:spacing w:before="500" w:after="0"/>
        <w:jc w:val="center"/>
        <w:rPr>
          <w:sz w:val="25"/>
          <w:szCs w:val="25"/>
        </w:rPr>
      </w:pPr>
      <w:r>
        <w:rPr>
          <w:b/>
          <w:bCs/>
          <w:sz w:val="25"/>
          <w:szCs w:val="25"/>
        </w:rPr>
        <w:t>11. СРОК ДЕЙСТВИЯ ДОГОВОРА И ПОРЯДОК ЕГО ПЕРЕЗАКЛЮЧЕНИЯ</w:t>
      </w:r>
    </w:p>
    <w:p>
      <w:pPr>
        <w:pStyle w:val="Normal"/>
        <w:widowControl/>
        <w:tabs>
          <w:tab w:val="clear" w:pos="708"/>
          <w:tab w:val="left" w:pos="1418" w:leader="none"/>
        </w:tabs>
        <w:ind w:firstLine="709"/>
        <w:jc w:val="both"/>
        <w:rPr>
          <w:sz w:val="25"/>
          <w:szCs w:val="25"/>
        </w:rPr>
      </w:pPr>
      <w:r>
        <w:rPr>
          <w:sz w:val="25"/>
          <w:szCs w:val="25"/>
        </w:rPr>
        <w:t>11.1.</w:t>
        <w:tab/>
      </w:r>
      <w:r>
        <w:rPr>
          <w:spacing w:val="-7"/>
          <w:sz w:val="25"/>
          <w:szCs w:val="25"/>
        </w:rPr>
        <w:t>Настоящий</w:t>
      </w:r>
      <w:r>
        <w:rPr>
          <w:sz w:val="25"/>
          <w:szCs w:val="25"/>
        </w:rPr>
        <w:t xml:space="preserve"> Договор с Приложениями составляется в двух экземплярах, каждый из которых имеет одинаковую юридическую силу, по одному для каждой из «Сторон».</w:t>
      </w:r>
    </w:p>
    <w:p>
      <w:pPr>
        <w:pStyle w:val="Normal"/>
        <w:widowControl/>
        <w:tabs>
          <w:tab w:val="clear" w:pos="708"/>
          <w:tab w:val="left" w:pos="1418" w:leader="none"/>
        </w:tabs>
        <w:ind w:firstLine="709"/>
        <w:jc w:val="both"/>
        <w:rPr>
          <w:sz w:val="25"/>
          <w:szCs w:val="25"/>
        </w:rPr>
      </w:pPr>
      <w:r>
        <w:rPr>
          <w:sz w:val="25"/>
          <w:szCs w:val="25"/>
        </w:rPr>
        <w:t>11.2.</w:t>
        <w:tab/>
      </w:r>
      <w:r>
        <w:rPr>
          <w:spacing w:val="-7"/>
          <w:sz w:val="25"/>
          <w:szCs w:val="25"/>
        </w:rPr>
        <w:t>Настоящий</w:t>
      </w:r>
      <w:r>
        <w:rPr>
          <w:sz w:val="25"/>
          <w:szCs w:val="25"/>
        </w:rPr>
        <w:t xml:space="preserve"> Договор заключается сроком на один год и вступает в силу с момента его подписания обеими «Сторонами».</w:t>
      </w:r>
    </w:p>
    <w:p>
      <w:pPr>
        <w:pStyle w:val="Normal"/>
        <w:widowControl/>
        <w:tabs>
          <w:tab w:val="clear" w:pos="708"/>
          <w:tab w:val="left" w:pos="1418" w:leader="none"/>
        </w:tabs>
        <w:ind w:firstLine="709"/>
        <w:jc w:val="both"/>
        <w:rPr>
          <w:sz w:val="25"/>
          <w:szCs w:val="25"/>
        </w:rPr>
      </w:pPr>
      <w:r>
        <w:rPr>
          <w:sz w:val="25"/>
          <w:szCs w:val="25"/>
        </w:rPr>
        <w:t>11.3.</w:t>
        <w:tab/>
        <w:t xml:space="preserve">Если за один месяц до истечения срока действия настоящего Договора ни одна из «Сторон» не потребует его прекращения, Договор считается автоматически продленным на прежних условиях и на тот же срок. Дальнейшая пролонгация Договора осуществляется в том же порядке. Количество пролонгаций не ограниченно. </w:t>
      </w:r>
    </w:p>
    <w:p>
      <w:pPr>
        <w:pStyle w:val="Normal"/>
        <w:widowControl/>
        <w:tabs>
          <w:tab w:val="clear" w:pos="708"/>
          <w:tab w:val="left" w:pos="1418" w:leader="none"/>
        </w:tabs>
        <w:ind w:firstLine="709"/>
        <w:jc w:val="both"/>
        <w:rPr>
          <w:sz w:val="25"/>
          <w:szCs w:val="25"/>
        </w:rPr>
      </w:pPr>
      <w:r>
        <w:rPr>
          <w:sz w:val="25"/>
          <w:szCs w:val="25"/>
        </w:rPr>
        <w:t>11.4.</w:t>
        <w:tab/>
        <w:t>Договор утрачивает силу:</w:t>
      </w:r>
    </w:p>
    <w:p>
      <w:pPr>
        <w:pStyle w:val="Normal"/>
        <w:widowControl/>
        <w:tabs>
          <w:tab w:val="clear" w:pos="708"/>
          <w:tab w:val="left" w:pos="1560" w:leader="none"/>
        </w:tabs>
        <w:ind w:firstLine="709"/>
        <w:jc w:val="both"/>
        <w:rPr>
          <w:sz w:val="25"/>
          <w:szCs w:val="25"/>
        </w:rPr>
      </w:pPr>
      <w:r>
        <w:rPr>
          <w:sz w:val="25"/>
          <w:szCs w:val="25"/>
        </w:rPr>
        <w:t>11.4.1.</w:t>
        <w:tab/>
        <w:t xml:space="preserve">При переходе «Объекта» в коммунальное пользование, сдаче в </w:t>
      </w:r>
      <w:r>
        <w:rPr>
          <w:spacing w:val="-7"/>
          <w:sz w:val="25"/>
          <w:szCs w:val="25"/>
        </w:rPr>
        <w:t>аренду</w:t>
      </w:r>
      <w:r>
        <w:rPr>
          <w:sz w:val="25"/>
          <w:szCs w:val="25"/>
        </w:rPr>
        <w:t xml:space="preserve"> без надлежащего правового оформления или смене собственника и в иных случаях, предусмотренных законом.</w:t>
      </w:r>
    </w:p>
    <w:p>
      <w:pPr>
        <w:pStyle w:val="Normal"/>
        <w:widowControl/>
        <w:tabs>
          <w:tab w:val="clear" w:pos="708"/>
          <w:tab w:val="left" w:pos="1560" w:leader="none"/>
        </w:tabs>
        <w:ind w:firstLine="709"/>
        <w:jc w:val="both"/>
        <w:rPr>
          <w:sz w:val="25"/>
          <w:szCs w:val="25"/>
        </w:rPr>
      </w:pPr>
      <w:r>
        <w:rPr>
          <w:sz w:val="25"/>
          <w:szCs w:val="25"/>
        </w:rPr>
        <w:t>11.4.2.</w:t>
        <w:tab/>
        <w:t>Если «Объект» переоборудован под деятельность, не связанную с проживанием, и фактически представляет собой офис, склад, производственную мастерскую.</w:t>
      </w:r>
    </w:p>
    <w:p>
      <w:pPr>
        <w:pStyle w:val="Normal"/>
        <w:widowControl/>
        <w:tabs>
          <w:tab w:val="clear" w:pos="708"/>
          <w:tab w:val="left" w:pos="1560" w:leader="none"/>
        </w:tabs>
        <w:ind w:firstLine="709"/>
        <w:jc w:val="both"/>
        <w:rPr>
          <w:sz w:val="25"/>
          <w:szCs w:val="25"/>
        </w:rPr>
      </w:pPr>
      <w:r>
        <w:rPr>
          <w:sz w:val="25"/>
          <w:szCs w:val="25"/>
        </w:rPr>
        <w:t>11.4.3.</w:t>
        <w:tab/>
        <w:t>В случае вынесения органами дознания, предварительного следствия и суда решений, постановлений, определений, прекращающих или ограничивающих права «Заказчика» в отношении «Объекта» – с момента вынесения таких актов.</w:t>
      </w:r>
    </w:p>
    <w:p>
      <w:pPr>
        <w:pStyle w:val="Normal"/>
        <w:widowControl/>
        <w:tabs>
          <w:tab w:val="clear" w:pos="708"/>
          <w:tab w:val="left" w:pos="1560" w:leader="none"/>
        </w:tabs>
        <w:ind w:firstLine="709"/>
        <w:jc w:val="both"/>
        <w:rPr>
          <w:sz w:val="25"/>
          <w:szCs w:val="25"/>
        </w:rPr>
      </w:pPr>
      <w:r>
        <w:rPr>
          <w:sz w:val="25"/>
          <w:szCs w:val="25"/>
        </w:rPr>
        <w:t>11.4.4.</w:t>
        <w:tab/>
        <w:t xml:space="preserve">В случае вынесения компетентным органом решения о </w:t>
      </w:r>
      <w:r>
        <w:rPr>
          <w:spacing w:val="-7"/>
          <w:sz w:val="25"/>
          <w:szCs w:val="25"/>
        </w:rPr>
        <w:t>признании</w:t>
      </w:r>
      <w:r>
        <w:rPr>
          <w:sz w:val="25"/>
          <w:szCs w:val="25"/>
        </w:rPr>
        <w:t xml:space="preserve"> «Заказчика» не дееспособным.</w:t>
      </w:r>
    </w:p>
    <w:p>
      <w:pPr>
        <w:pStyle w:val="Normal"/>
        <w:widowControl/>
        <w:tabs>
          <w:tab w:val="clear" w:pos="708"/>
          <w:tab w:val="left" w:pos="1560" w:leader="none"/>
        </w:tabs>
        <w:ind w:firstLine="709"/>
        <w:jc w:val="both"/>
        <w:rPr>
          <w:sz w:val="25"/>
          <w:szCs w:val="25"/>
        </w:rPr>
      </w:pPr>
      <w:r>
        <w:rPr>
          <w:sz w:val="25"/>
          <w:szCs w:val="25"/>
        </w:rPr>
        <w:t>11.4.5.</w:t>
        <w:tab/>
        <w:t>Если установлен переход права собственности на «Объект» другому лицу, с которым не заключен самостоятельный договор.</w:t>
      </w:r>
    </w:p>
    <w:p>
      <w:pPr>
        <w:pStyle w:val="Normal"/>
        <w:widowControl/>
        <w:tabs>
          <w:tab w:val="clear" w:pos="708"/>
          <w:tab w:val="left" w:pos="1560" w:leader="none"/>
        </w:tabs>
        <w:ind w:firstLine="709"/>
        <w:jc w:val="both"/>
        <w:rPr>
          <w:sz w:val="25"/>
          <w:szCs w:val="25"/>
        </w:rPr>
      </w:pPr>
      <w:r>
        <w:rPr>
          <w:sz w:val="25"/>
          <w:szCs w:val="25"/>
        </w:rPr>
        <w:t>11.4.6.</w:t>
        <w:tab/>
        <w:t>В случае вынесения компетентным органом решения о признании установления «Объекта» незаконным.</w:t>
      </w:r>
    </w:p>
    <w:p>
      <w:pPr>
        <w:pStyle w:val="Normal"/>
        <w:widowControl/>
        <w:tabs>
          <w:tab w:val="clear" w:pos="708"/>
          <w:tab w:val="left" w:pos="1418" w:leader="none"/>
        </w:tabs>
        <w:ind w:firstLine="709"/>
        <w:jc w:val="both"/>
        <w:rPr>
          <w:sz w:val="25"/>
          <w:szCs w:val="25"/>
        </w:rPr>
      </w:pPr>
      <w:r>
        <w:rPr>
          <w:sz w:val="25"/>
          <w:szCs w:val="25"/>
        </w:rPr>
        <w:t>11.5.</w:t>
        <w:tab/>
        <w:t xml:space="preserve">Другие </w:t>
      </w:r>
      <w:r>
        <w:rPr>
          <w:spacing w:val="-7"/>
          <w:sz w:val="25"/>
          <w:szCs w:val="25"/>
        </w:rPr>
        <w:t>изменения</w:t>
      </w:r>
      <w:r>
        <w:rPr>
          <w:sz w:val="25"/>
          <w:szCs w:val="25"/>
        </w:rPr>
        <w:t xml:space="preserve"> и дополнения настоящего Договора считаются действительными, если они совершены в письменной форме и обеими договаривающимися «Сторонами».</w:t>
      </w:r>
    </w:p>
    <w:p>
      <w:pPr>
        <w:pStyle w:val="Normal"/>
        <w:widowControl/>
        <w:tabs>
          <w:tab w:val="clear" w:pos="708"/>
          <w:tab w:val="left" w:pos="1418" w:leader="none"/>
        </w:tabs>
        <w:ind w:firstLine="709"/>
        <w:jc w:val="both"/>
        <w:rPr>
          <w:sz w:val="25"/>
          <w:szCs w:val="25"/>
        </w:rPr>
      </w:pPr>
      <w:r>
        <w:rPr>
          <w:sz w:val="25"/>
          <w:szCs w:val="25"/>
        </w:rPr>
        <w:t>11.6.</w:t>
        <w:tab/>
        <w:t xml:space="preserve">При </w:t>
      </w:r>
      <w:r>
        <w:rPr>
          <w:spacing w:val="-7"/>
          <w:sz w:val="25"/>
          <w:szCs w:val="25"/>
        </w:rPr>
        <w:t>изменении</w:t>
      </w:r>
      <w:r>
        <w:rPr>
          <w:sz w:val="25"/>
          <w:szCs w:val="25"/>
        </w:rPr>
        <w:t xml:space="preserve"> условий, изложенных в Приложении № 1 к настоящему Договору, оба экземпляра Приложения № 1 подлежат переоформлению.</w:t>
      </w:r>
    </w:p>
    <w:p>
      <w:pPr>
        <w:pStyle w:val="Normal"/>
        <w:widowControl/>
        <w:tabs>
          <w:tab w:val="clear" w:pos="708"/>
          <w:tab w:val="left" w:pos="1418" w:leader="none"/>
        </w:tabs>
        <w:ind w:firstLine="709"/>
        <w:jc w:val="both"/>
        <w:rPr>
          <w:sz w:val="25"/>
          <w:szCs w:val="25"/>
        </w:rPr>
      </w:pPr>
      <w:r>
        <w:rPr>
          <w:sz w:val="25"/>
          <w:szCs w:val="25"/>
        </w:rPr>
        <w:t>11.7.</w:t>
        <w:tab/>
        <w:t xml:space="preserve">После </w:t>
      </w:r>
      <w:r>
        <w:rPr>
          <w:spacing w:val="-7"/>
          <w:sz w:val="25"/>
          <w:szCs w:val="25"/>
        </w:rPr>
        <w:t>подписания</w:t>
      </w:r>
      <w:r>
        <w:rPr>
          <w:sz w:val="25"/>
          <w:szCs w:val="25"/>
        </w:rPr>
        <w:t xml:space="preserve"> Договора все переговоры и переписка по нему, устные и письменные соглашения «Сторон», предшествующие его подписанию и совершенные до его подписания, а равно и ранее заключенные Договоры, теряют силу.</w:t>
      </w:r>
    </w:p>
    <w:p>
      <w:pPr>
        <w:pStyle w:val="12"/>
        <w:spacing w:before="500" w:after="0"/>
        <w:jc w:val="center"/>
        <w:rPr>
          <w:b/>
          <w:b/>
          <w:color w:val="auto"/>
          <w:sz w:val="25"/>
          <w:szCs w:val="25"/>
        </w:rPr>
      </w:pPr>
      <w:r>
        <w:rPr>
          <w:b/>
          <w:color w:val="auto"/>
          <w:sz w:val="25"/>
          <w:szCs w:val="25"/>
        </w:rPr>
        <w:t>12. ПОДПИСИ СТОРОН</w:t>
      </w:r>
    </w:p>
    <w:p>
      <w:pPr>
        <w:pStyle w:val="12"/>
        <w:jc w:val="center"/>
        <w:rPr>
          <w:b/>
          <w:b/>
          <w:color w:val="auto"/>
          <w:sz w:val="25"/>
          <w:szCs w:val="25"/>
        </w:rPr>
      </w:pPr>
      <w:r>
        <w:rPr>
          <w:b/>
          <w:color w:val="auto"/>
          <w:sz w:val="25"/>
          <w:szCs w:val="25"/>
        </w:rPr>
      </w:r>
    </w:p>
    <w:tbl>
      <w:tblPr>
        <w:tblStyle w:val="af"/>
        <w:tblW w:w="4900" w:type="pct"/>
        <w:jc w:val="left"/>
        <w:tblInd w:w="0" w:type="dxa"/>
        <w:tblCellMar>
          <w:top w:w="0" w:type="dxa"/>
          <w:left w:w="108" w:type="dxa"/>
          <w:bottom w:w="0" w:type="dxa"/>
          <w:right w:w="108" w:type="dxa"/>
        </w:tblCellMar>
        <w:tblLook w:val="04a0"/>
      </w:tblPr>
      <w:tblGrid>
        <w:gridCol w:w="1715"/>
        <w:gridCol w:w="2922"/>
        <w:gridCol w:w="417"/>
        <w:gridCol w:w="2331"/>
        <w:gridCol w:w="2060"/>
      </w:tblGrid>
      <w:tr>
        <w:trPr>
          <w:trHeight w:val="538" w:hRule="atLeast"/>
        </w:trPr>
        <w:tc>
          <w:tcPr>
            <w:tcW w:w="4637" w:type="dxa"/>
            <w:gridSpan w:val="2"/>
            <w:tcBorders/>
          </w:tcPr>
          <w:p>
            <w:pPr>
              <w:pStyle w:val="Normal"/>
              <w:jc w:val="center"/>
              <w:rPr>
                <w:b/>
                <w:b/>
                <w:sz w:val="25"/>
                <w:szCs w:val="25"/>
              </w:rPr>
            </w:pPr>
            <w:r>
              <w:rPr>
                <w:b/>
                <w:sz w:val="25"/>
                <w:szCs w:val="25"/>
              </w:rPr>
              <w:t>«Заказчик»</w:t>
            </w:r>
          </w:p>
        </w:tc>
        <w:tc>
          <w:tcPr>
            <w:tcW w:w="417" w:type="dxa"/>
            <w:vMerge w:val="restart"/>
            <w:tcBorders/>
          </w:tcPr>
          <w:p>
            <w:pPr>
              <w:pStyle w:val="Normal"/>
              <w:jc w:val="center"/>
              <w:rPr>
                <w:b/>
                <w:b/>
                <w:sz w:val="25"/>
                <w:szCs w:val="25"/>
              </w:rPr>
            </w:pPr>
            <w:r>
              <w:rPr>
                <w:b/>
                <w:sz w:val="25"/>
                <w:szCs w:val="25"/>
              </w:rPr>
            </w:r>
          </w:p>
        </w:tc>
        <w:tc>
          <w:tcPr>
            <w:tcW w:w="4391" w:type="dxa"/>
            <w:gridSpan w:val="2"/>
            <w:tcBorders/>
          </w:tcPr>
          <w:p>
            <w:pPr>
              <w:pStyle w:val="Normal"/>
              <w:jc w:val="center"/>
              <w:rPr>
                <w:b/>
                <w:b/>
                <w:sz w:val="25"/>
                <w:szCs w:val="25"/>
              </w:rPr>
            </w:pPr>
            <w:r>
              <w:rPr>
                <w:b/>
                <w:sz w:val="25"/>
                <w:szCs w:val="25"/>
              </w:rPr>
              <w:t>«Исполнитель»</w:t>
            </w:r>
          </w:p>
        </w:tc>
      </w:tr>
      <w:tr>
        <w:trPr/>
        <w:tc>
          <w:tcPr>
            <w:tcW w:w="4637" w:type="dxa"/>
            <w:gridSpan w:val="2"/>
            <w:tcBorders/>
          </w:tcPr>
          <w:p>
            <w:pPr>
              <w:pStyle w:val="12"/>
              <w:jc w:val="center"/>
              <w:rPr>
                <w:b/>
                <w:b/>
                <w:color w:val="auto"/>
                <w:sz w:val="25"/>
                <w:szCs w:val="25"/>
              </w:rPr>
            </w:pPr>
            <w:r>
              <w:rPr>
                <w:b/>
                <w:color w:val="auto"/>
                <w:sz w:val="25"/>
                <w:szCs w:val="25"/>
              </w:rPr>
            </w:r>
          </w:p>
        </w:tc>
        <w:tc>
          <w:tcPr>
            <w:tcW w:w="417" w:type="dxa"/>
            <w:vMerge w:val="continue"/>
            <w:tcBorders/>
          </w:tcPr>
          <w:p>
            <w:pPr>
              <w:pStyle w:val="Normal"/>
              <w:rPr>
                <w:bCs/>
                <w:iCs/>
                <w:sz w:val="25"/>
                <w:szCs w:val="25"/>
              </w:rPr>
            </w:pPr>
            <w:r>
              <w:rPr>
                <w:bCs/>
                <w:iCs/>
                <w:sz w:val="25"/>
                <w:szCs w:val="25"/>
              </w:rPr>
            </w:r>
          </w:p>
        </w:tc>
        <w:tc>
          <w:tcPr>
            <w:tcW w:w="4391" w:type="dxa"/>
            <w:gridSpan w:val="2"/>
            <w:tcBorders/>
          </w:tcPr>
          <w:p>
            <w:pPr>
              <w:pStyle w:val="Normal"/>
              <w:jc w:val="both"/>
              <w:rPr>
                <w:bCs/>
                <w:iCs/>
                <w:sz w:val="25"/>
                <w:szCs w:val="25"/>
              </w:rPr>
            </w:pPr>
            <w:r>
              <w:rPr>
                <w:bCs/>
                <w:iCs/>
                <w:sz w:val="25"/>
                <w:szCs w:val="25"/>
              </w:rPr>
            </w:r>
          </w:p>
        </w:tc>
      </w:tr>
      <w:tr>
        <w:trPr/>
        <w:tc>
          <w:tcPr>
            <w:tcW w:w="1715" w:type="dxa"/>
            <w:tcBorders/>
          </w:tcPr>
          <w:p>
            <w:pPr>
              <w:pStyle w:val="12"/>
              <w:jc w:val="center"/>
              <w:rPr>
                <w:color w:val="auto"/>
                <w:sz w:val="25"/>
                <w:szCs w:val="25"/>
              </w:rPr>
            </w:pPr>
            <w:r>
              <w:rPr>
                <w:color w:val="auto"/>
                <w:sz w:val="25"/>
                <w:szCs w:val="25"/>
              </w:rPr>
            </w:r>
          </w:p>
        </w:tc>
        <w:tc>
          <w:tcPr>
            <w:tcW w:w="2922" w:type="dxa"/>
            <w:tcBorders/>
          </w:tcPr>
          <w:p>
            <w:pPr>
              <w:pStyle w:val="12"/>
              <w:rPr>
                <w:color w:val="auto"/>
                <w:sz w:val="25"/>
                <w:szCs w:val="25"/>
              </w:rPr>
            </w:pPr>
            <w:r>
              <w:rPr>
                <w:color w:val="auto"/>
                <w:sz w:val="25"/>
                <w:szCs w:val="25"/>
              </w:rPr>
              <w:t>/                                         /</w:t>
            </w:r>
          </w:p>
        </w:tc>
        <w:tc>
          <w:tcPr>
            <w:tcW w:w="417" w:type="dxa"/>
            <w:vMerge w:val="continue"/>
            <w:tcBorders/>
          </w:tcPr>
          <w:p>
            <w:pPr>
              <w:pStyle w:val="12"/>
              <w:jc w:val="center"/>
              <w:rPr>
                <w:b/>
                <w:b/>
                <w:color w:val="auto"/>
                <w:sz w:val="25"/>
                <w:szCs w:val="25"/>
              </w:rPr>
            </w:pPr>
            <w:r>
              <w:rPr>
                <w:b/>
                <w:color w:val="auto"/>
                <w:sz w:val="25"/>
                <w:szCs w:val="25"/>
              </w:rPr>
            </w:r>
          </w:p>
        </w:tc>
        <w:tc>
          <w:tcPr>
            <w:tcW w:w="2331" w:type="dxa"/>
            <w:tcBorders/>
          </w:tcPr>
          <w:p>
            <w:pPr>
              <w:pStyle w:val="12"/>
              <w:jc w:val="center"/>
              <w:rPr>
                <w:b/>
                <w:b/>
                <w:color w:val="auto"/>
                <w:sz w:val="25"/>
                <w:szCs w:val="25"/>
              </w:rPr>
            </w:pPr>
            <w:r>
              <w:rPr>
                <w:b/>
                <w:color w:val="auto"/>
                <w:sz w:val="25"/>
                <w:szCs w:val="25"/>
              </w:rPr>
            </w:r>
          </w:p>
        </w:tc>
        <w:tc>
          <w:tcPr>
            <w:tcW w:w="2060" w:type="dxa"/>
            <w:tcBorders/>
          </w:tcPr>
          <w:p>
            <w:pPr>
              <w:pStyle w:val="12"/>
              <w:jc w:val="right"/>
              <w:rPr>
                <w:b/>
                <w:b/>
                <w:color w:val="auto"/>
                <w:sz w:val="25"/>
                <w:szCs w:val="25"/>
              </w:rPr>
            </w:pPr>
            <w:r>
              <w:rPr>
                <w:sz w:val="25"/>
                <w:szCs w:val="25"/>
              </w:rPr>
              <w:t>/__________/</w:t>
            </w:r>
          </w:p>
        </w:tc>
      </w:tr>
      <w:tr>
        <w:trPr/>
        <w:tc>
          <w:tcPr>
            <w:tcW w:w="1715" w:type="dxa"/>
            <w:tcBorders/>
          </w:tcPr>
          <w:p>
            <w:pPr>
              <w:pStyle w:val="Normal"/>
              <w:jc w:val="center"/>
              <w:rPr>
                <w:b/>
                <w:b/>
                <w:sz w:val="25"/>
                <w:szCs w:val="25"/>
              </w:rPr>
            </w:pPr>
            <w:r>
              <w:rPr>
                <w:sz w:val="16"/>
                <w:szCs w:val="16"/>
              </w:rPr>
              <w:t>(подпись)</w:t>
            </w:r>
          </w:p>
        </w:tc>
        <w:tc>
          <w:tcPr>
            <w:tcW w:w="2922" w:type="dxa"/>
            <w:tcBorders/>
          </w:tcPr>
          <w:p>
            <w:pPr>
              <w:pStyle w:val="12"/>
              <w:jc w:val="center"/>
              <w:rPr>
                <w:sz w:val="25"/>
                <w:szCs w:val="25"/>
              </w:rPr>
            </w:pPr>
            <w:r>
              <w:rPr>
                <w:sz w:val="16"/>
                <w:szCs w:val="16"/>
              </w:rPr>
              <w:t>(фамилия)</w:t>
            </w:r>
          </w:p>
        </w:tc>
        <w:tc>
          <w:tcPr>
            <w:tcW w:w="417" w:type="dxa"/>
            <w:vMerge w:val="continue"/>
            <w:tcBorders/>
          </w:tcPr>
          <w:p>
            <w:pPr>
              <w:pStyle w:val="Normal"/>
              <w:jc w:val="center"/>
              <w:rPr>
                <w:sz w:val="16"/>
                <w:szCs w:val="16"/>
              </w:rPr>
            </w:pPr>
            <w:r>
              <w:rPr>
                <w:sz w:val="16"/>
                <w:szCs w:val="16"/>
              </w:rPr>
            </w:r>
          </w:p>
        </w:tc>
        <w:tc>
          <w:tcPr>
            <w:tcW w:w="2331" w:type="dxa"/>
            <w:tcBorders/>
          </w:tcPr>
          <w:p>
            <w:pPr>
              <w:pStyle w:val="Normal"/>
              <w:jc w:val="center"/>
              <w:rPr>
                <w:b/>
                <w:b/>
                <w:sz w:val="25"/>
                <w:szCs w:val="25"/>
              </w:rPr>
            </w:pPr>
            <w:r>
              <w:rPr>
                <w:sz w:val="16"/>
                <w:szCs w:val="16"/>
              </w:rPr>
              <w:t>(подпись)</w:t>
            </w:r>
          </w:p>
        </w:tc>
        <w:tc>
          <w:tcPr>
            <w:tcW w:w="2060" w:type="dxa"/>
            <w:tcBorders/>
          </w:tcPr>
          <w:p>
            <w:pPr>
              <w:pStyle w:val="12"/>
              <w:jc w:val="center"/>
              <w:rPr>
                <w:sz w:val="25"/>
                <w:szCs w:val="25"/>
              </w:rPr>
            </w:pPr>
            <w:r>
              <w:rPr>
                <w:sz w:val="16"/>
                <w:szCs w:val="16"/>
              </w:rPr>
              <w:t>(фамилия)</w:t>
            </w:r>
          </w:p>
        </w:tc>
      </w:tr>
    </w:tbl>
    <w:p>
      <w:pPr>
        <w:pStyle w:val="12"/>
        <w:shd w:val="clear" w:color="auto" w:fill="FFFFFF"/>
        <w:ind w:left="5387" w:hanging="0"/>
        <w:jc w:val="both"/>
        <w:rPr>
          <w:sz w:val="18"/>
          <w:szCs w:val="18"/>
        </w:rPr>
      </w:pPr>
      <w:r>
        <w:rPr>
          <w:sz w:val="18"/>
          <w:szCs w:val="18"/>
        </w:rPr>
      </w:r>
    </w:p>
    <w:p>
      <w:pPr>
        <w:pStyle w:val="Normal"/>
        <w:shd w:val="clear" w:color="auto" w:fill="FFFFFF"/>
        <w:ind w:left="5387" w:hanging="0"/>
        <w:jc w:val="both"/>
        <w:rPr>
          <w:sz w:val="25"/>
          <w:szCs w:val="25"/>
        </w:rPr>
      </w:pPr>
      <w:r>
        <w:rPr>
          <w:sz w:val="25"/>
          <w:szCs w:val="25"/>
        </w:rPr>
      </w:r>
    </w:p>
    <w:p>
      <w:pPr>
        <w:pStyle w:val="Normal"/>
        <w:shd w:val="clear" w:color="auto" w:fill="FFFFFF"/>
        <w:ind w:left="5387" w:hanging="0"/>
        <w:jc w:val="both"/>
        <w:rPr>
          <w:sz w:val="25"/>
          <w:szCs w:val="25"/>
        </w:rPr>
      </w:pPr>
      <w:r>
        <w:rPr>
          <w:sz w:val="25"/>
          <w:szCs w:val="25"/>
        </w:rPr>
      </w:r>
    </w:p>
    <w:p>
      <w:pPr>
        <w:pStyle w:val="Normal"/>
        <w:shd w:val="clear" w:color="auto" w:fill="FFFFFF"/>
        <w:ind w:left="5387" w:hanging="0"/>
        <w:jc w:val="both"/>
        <w:rPr>
          <w:sz w:val="25"/>
          <w:szCs w:val="25"/>
        </w:rPr>
      </w:pPr>
      <w:r>
        <w:rPr>
          <w:sz w:val="25"/>
          <w:szCs w:val="25"/>
        </w:rPr>
      </w:r>
    </w:p>
    <w:p>
      <w:pPr>
        <w:pStyle w:val="Normal"/>
        <w:shd w:val="clear" w:color="auto" w:fill="FFFFFF"/>
        <w:ind w:left="5387" w:hanging="0"/>
        <w:jc w:val="both"/>
        <w:rPr>
          <w:sz w:val="25"/>
          <w:szCs w:val="25"/>
        </w:rPr>
      </w:pPr>
      <w:r>
        <w:rPr>
          <w:sz w:val="25"/>
          <w:szCs w:val="25"/>
        </w:rPr>
      </w:r>
    </w:p>
    <w:p>
      <w:pPr>
        <w:pStyle w:val="Normal"/>
        <w:shd w:val="clear" w:color="auto" w:fill="FFFFFF"/>
        <w:ind w:left="5387" w:hanging="0"/>
        <w:jc w:val="both"/>
        <w:rPr>
          <w:sz w:val="25"/>
          <w:szCs w:val="25"/>
        </w:rPr>
      </w:pPr>
      <w:r>
        <w:rPr>
          <w:sz w:val="25"/>
          <w:szCs w:val="25"/>
        </w:rPr>
      </w:r>
    </w:p>
    <w:p>
      <w:pPr>
        <w:pStyle w:val="Normal"/>
        <w:shd w:val="clear" w:color="auto" w:fill="FFFFFF"/>
        <w:ind w:left="5387" w:hanging="0"/>
        <w:jc w:val="both"/>
        <w:rPr>
          <w:sz w:val="25"/>
          <w:szCs w:val="25"/>
        </w:rPr>
      </w:pPr>
      <w:r>
        <w:rPr>
          <w:sz w:val="25"/>
          <w:szCs w:val="25"/>
        </w:rPr>
        <w:t>Приложение № 1</w:t>
      </w:r>
    </w:p>
    <w:p>
      <w:pPr>
        <w:pStyle w:val="Normal"/>
        <w:ind w:left="5387" w:hanging="0"/>
        <w:jc w:val="both"/>
        <w:rPr>
          <w:sz w:val="25"/>
          <w:szCs w:val="25"/>
        </w:rPr>
      </w:pPr>
      <w:r>
        <w:rPr>
          <w:sz w:val="25"/>
          <w:szCs w:val="25"/>
        </w:rPr>
        <w:t>к договору на оказание охранных услуг с помощью пульта централизованного наблюдения</w:t>
      </w:r>
    </w:p>
    <w:p>
      <w:pPr>
        <w:pStyle w:val="Normal"/>
        <w:shd w:val="clear" w:color="auto" w:fill="FFFFFF"/>
        <w:spacing w:before="0" w:after="500"/>
        <w:ind w:left="5387" w:hanging="0"/>
        <w:jc w:val="both"/>
        <w:rPr>
          <w:sz w:val="25"/>
          <w:szCs w:val="25"/>
        </w:rPr>
      </w:pPr>
      <w:r>
        <w:rPr>
          <w:sz w:val="25"/>
          <w:szCs w:val="25"/>
        </w:rPr>
        <w:t>от ____.____ ___г.. № ______________</w:t>
      </w:r>
    </w:p>
    <w:tbl>
      <w:tblPr>
        <w:tblW w:w="4900" w:type="pct"/>
        <w:jc w:val="center"/>
        <w:tblInd w:w="0" w:type="dxa"/>
        <w:tblCellMar>
          <w:top w:w="0" w:type="dxa"/>
          <w:left w:w="108" w:type="dxa"/>
          <w:bottom w:w="0" w:type="dxa"/>
          <w:right w:w="108" w:type="dxa"/>
        </w:tblCellMar>
        <w:tblLook w:val="04a0"/>
      </w:tblPr>
      <w:tblGrid>
        <w:gridCol w:w="1062"/>
        <w:gridCol w:w="236"/>
        <w:gridCol w:w="473"/>
        <w:gridCol w:w="178"/>
        <w:gridCol w:w="156"/>
        <w:gridCol w:w="412"/>
        <w:gridCol w:w="849"/>
        <w:gridCol w:w="257"/>
        <w:gridCol w:w="247"/>
        <w:gridCol w:w="70"/>
        <w:gridCol w:w="893"/>
        <w:gridCol w:w="456"/>
        <w:gridCol w:w="153"/>
        <w:gridCol w:w="360"/>
        <w:gridCol w:w="238"/>
        <w:gridCol w:w="809"/>
        <w:gridCol w:w="210"/>
        <w:gridCol w:w="823"/>
        <w:gridCol w:w="874"/>
        <w:gridCol w:w="688"/>
      </w:tblGrid>
      <w:tr>
        <w:trPr>
          <w:cantSplit w:val="true"/>
        </w:trPr>
        <w:tc>
          <w:tcPr>
            <w:tcW w:w="9444" w:type="dxa"/>
            <w:gridSpan w:val="20"/>
            <w:tcBorders/>
          </w:tcPr>
          <w:p>
            <w:pPr>
              <w:pStyle w:val="Normal"/>
              <w:spacing w:lineRule="auto" w:line="276"/>
              <w:jc w:val="both"/>
              <w:rPr>
                <w:sz w:val="25"/>
                <w:szCs w:val="25"/>
              </w:rPr>
            </w:pPr>
            <w:r>
              <w:rPr>
                <w:sz w:val="25"/>
                <w:szCs w:val="25"/>
              </w:rPr>
              <w:t>1. «Заказчик» оценивает находящееся на «Объекте» имущество на сумму</w:t>
            </w:r>
          </w:p>
        </w:tc>
      </w:tr>
      <w:tr>
        <w:trPr>
          <w:cantSplit w:val="true"/>
        </w:trPr>
        <w:tc>
          <w:tcPr>
            <w:tcW w:w="6849" w:type="dxa"/>
            <w:gridSpan w:val="16"/>
            <w:tcBorders>
              <w:bottom w:val="single" w:sz="4" w:space="0" w:color="000000"/>
            </w:tcBorders>
          </w:tcPr>
          <w:p>
            <w:pPr>
              <w:pStyle w:val="Normal"/>
              <w:spacing w:lineRule="auto" w:line="276"/>
              <w:jc w:val="center"/>
              <w:rPr>
                <w:sz w:val="25"/>
                <w:szCs w:val="25"/>
              </w:rPr>
            </w:pPr>
            <w:r>
              <w:rPr>
                <w:b/>
                <w:sz w:val="25"/>
                <w:szCs w:val="25"/>
              </w:rPr>
              <w:t>15 (пятнадцать)</w:t>
            </w:r>
          </w:p>
        </w:tc>
        <w:tc>
          <w:tcPr>
            <w:tcW w:w="2595" w:type="dxa"/>
            <w:gridSpan w:val="4"/>
            <w:tcBorders/>
          </w:tcPr>
          <w:p>
            <w:pPr>
              <w:pStyle w:val="Normal"/>
              <w:spacing w:lineRule="auto" w:line="276"/>
              <w:rPr>
                <w:sz w:val="25"/>
                <w:szCs w:val="25"/>
              </w:rPr>
            </w:pPr>
            <w:r>
              <w:rPr>
                <w:sz w:val="25"/>
                <w:szCs w:val="25"/>
              </w:rPr>
              <w:t>тыс. рублей.</w:t>
            </w:r>
          </w:p>
        </w:tc>
      </w:tr>
      <w:tr>
        <w:trPr>
          <w:cantSplit w:val="true"/>
        </w:trPr>
        <w:tc>
          <w:tcPr>
            <w:tcW w:w="6849" w:type="dxa"/>
            <w:gridSpan w:val="16"/>
            <w:tcBorders>
              <w:top w:val="single" w:sz="4" w:space="0" w:color="000000"/>
            </w:tcBorders>
          </w:tcPr>
          <w:p>
            <w:pPr>
              <w:pStyle w:val="Normal"/>
              <w:spacing w:lineRule="auto" w:line="276"/>
              <w:jc w:val="center"/>
              <w:rPr>
                <w:sz w:val="25"/>
                <w:szCs w:val="25"/>
                <w:vertAlign w:val="superscript"/>
              </w:rPr>
            </w:pPr>
            <w:r>
              <w:rPr>
                <w:sz w:val="25"/>
                <w:szCs w:val="25"/>
                <w:vertAlign w:val="superscript"/>
              </w:rPr>
              <w:t>(числом и прописью)</w:t>
            </w:r>
          </w:p>
        </w:tc>
        <w:tc>
          <w:tcPr>
            <w:tcW w:w="2595" w:type="dxa"/>
            <w:gridSpan w:val="4"/>
            <w:tcBorders/>
          </w:tcPr>
          <w:p>
            <w:pPr>
              <w:pStyle w:val="Normal"/>
              <w:spacing w:lineRule="auto" w:line="276"/>
              <w:rPr>
                <w:sz w:val="25"/>
                <w:szCs w:val="25"/>
              </w:rPr>
            </w:pPr>
            <w:r>
              <w:rPr>
                <w:sz w:val="25"/>
                <w:szCs w:val="25"/>
              </w:rPr>
            </w:r>
          </w:p>
        </w:tc>
      </w:tr>
      <w:tr>
        <w:trPr>
          <w:cantSplit w:val="true"/>
        </w:trPr>
        <w:tc>
          <w:tcPr>
            <w:tcW w:w="3623" w:type="dxa"/>
            <w:gridSpan w:val="8"/>
            <w:tcBorders/>
          </w:tcPr>
          <w:p>
            <w:pPr>
              <w:pStyle w:val="Normal"/>
              <w:spacing w:lineRule="auto" w:line="276"/>
              <w:jc w:val="both"/>
              <w:rPr>
                <w:sz w:val="25"/>
                <w:szCs w:val="25"/>
              </w:rPr>
            </w:pPr>
            <w:r>
              <w:rPr>
                <w:sz w:val="25"/>
                <w:szCs w:val="25"/>
              </w:rPr>
              <w:t xml:space="preserve">2. Ежемесячная плата за охрану </w:t>
            </w:r>
          </w:p>
        </w:tc>
        <w:tc>
          <w:tcPr>
            <w:tcW w:w="3226" w:type="dxa"/>
            <w:gridSpan w:val="8"/>
            <w:tcBorders>
              <w:bottom w:val="single" w:sz="4" w:space="0" w:color="000000"/>
            </w:tcBorders>
          </w:tcPr>
          <w:p>
            <w:pPr>
              <w:pStyle w:val="Normal"/>
              <w:spacing w:lineRule="auto" w:line="276"/>
              <w:jc w:val="center"/>
              <w:rPr>
                <w:b/>
                <w:b/>
                <w:sz w:val="25"/>
                <w:szCs w:val="25"/>
              </w:rPr>
            </w:pPr>
            <w:r>
              <w:rPr>
                <w:b/>
                <w:sz w:val="25"/>
                <w:szCs w:val="25"/>
              </w:rPr>
            </w:r>
          </w:p>
        </w:tc>
        <w:tc>
          <w:tcPr>
            <w:tcW w:w="1033" w:type="dxa"/>
            <w:gridSpan w:val="2"/>
            <w:tcBorders/>
          </w:tcPr>
          <w:p>
            <w:pPr>
              <w:pStyle w:val="Normal"/>
              <w:spacing w:lineRule="auto" w:line="276"/>
              <w:jc w:val="center"/>
              <w:rPr>
                <w:sz w:val="25"/>
                <w:szCs w:val="25"/>
              </w:rPr>
            </w:pPr>
            <w:r>
              <w:rPr>
                <w:sz w:val="25"/>
                <w:szCs w:val="25"/>
              </w:rPr>
              <w:t>рублей</w:t>
            </w:r>
          </w:p>
        </w:tc>
        <w:tc>
          <w:tcPr>
            <w:tcW w:w="874" w:type="dxa"/>
            <w:tcBorders>
              <w:bottom w:val="single" w:sz="4" w:space="0" w:color="000000"/>
            </w:tcBorders>
          </w:tcPr>
          <w:p>
            <w:pPr>
              <w:pStyle w:val="Normal"/>
              <w:spacing w:lineRule="auto" w:line="276"/>
              <w:jc w:val="center"/>
              <w:rPr>
                <w:b/>
                <w:b/>
                <w:sz w:val="25"/>
                <w:szCs w:val="25"/>
              </w:rPr>
            </w:pPr>
            <w:r>
              <w:rPr>
                <w:b/>
                <w:sz w:val="25"/>
                <w:szCs w:val="25"/>
              </w:rPr>
            </w:r>
          </w:p>
        </w:tc>
        <w:tc>
          <w:tcPr>
            <w:tcW w:w="688" w:type="dxa"/>
            <w:tcBorders/>
          </w:tcPr>
          <w:p>
            <w:pPr>
              <w:pStyle w:val="Normal"/>
              <w:spacing w:lineRule="auto" w:line="276"/>
              <w:jc w:val="right"/>
              <w:rPr>
                <w:sz w:val="25"/>
                <w:szCs w:val="25"/>
              </w:rPr>
            </w:pPr>
            <w:r>
              <w:rPr>
                <w:sz w:val="25"/>
                <w:szCs w:val="25"/>
              </w:rPr>
              <w:t>коп.</w:t>
            </w:r>
          </w:p>
        </w:tc>
      </w:tr>
      <w:tr>
        <w:trPr>
          <w:cantSplit w:val="true"/>
        </w:trPr>
        <w:tc>
          <w:tcPr>
            <w:tcW w:w="3623" w:type="dxa"/>
            <w:gridSpan w:val="8"/>
            <w:tcBorders/>
          </w:tcPr>
          <w:p>
            <w:pPr>
              <w:pStyle w:val="Normal"/>
              <w:spacing w:lineRule="auto" w:line="276"/>
              <w:rPr>
                <w:sz w:val="25"/>
                <w:szCs w:val="25"/>
              </w:rPr>
            </w:pPr>
            <w:r>
              <w:rPr>
                <w:sz w:val="25"/>
                <w:szCs w:val="25"/>
              </w:rPr>
            </w:r>
          </w:p>
        </w:tc>
        <w:tc>
          <w:tcPr>
            <w:tcW w:w="3226" w:type="dxa"/>
            <w:gridSpan w:val="8"/>
            <w:tcBorders/>
          </w:tcPr>
          <w:p>
            <w:pPr>
              <w:pStyle w:val="Normal"/>
              <w:spacing w:lineRule="auto" w:line="276"/>
              <w:jc w:val="center"/>
              <w:rPr>
                <w:sz w:val="25"/>
                <w:szCs w:val="25"/>
                <w:vertAlign w:val="superscript"/>
              </w:rPr>
            </w:pPr>
            <w:r>
              <w:rPr>
                <w:sz w:val="25"/>
                <w:szCs w:val="25"/>
                <w:vertAlign w:val="superscript"/>
              </w:rPr>
              <w:t>(числом и прописью)</w:t>
            </w:r>
          </w:p>
        </w:tc>
        <w:tc>
          <w:tcPr>
            <w:tcW w:w="1033" w:type="dxa"/>
            <w:gridSpan w:val="2"/>
            <w:tcBorders/>
          </w:tcPr>
          <w:p>
            <w:pPr>
              <w:pStyle w:val="Normal"/>
              <w:spacing w:lineRule="auto" w:line="276"/>
              <w:jc w:val="center"/>
              <w:rPr>
                <w:sz w:val="25"/>
                <w:szCs w:val="25"/>
              </w:rPr>
            </w:pPr>
            <w:r>
              <w:rPr>
                <w:sz w:val="25"/>
                <w:szCs w:val="25"/>
              </w:rPr>
            </w:r>
          </w:p>
        </w:tc>
        <w:tc>
          <w:tcPr>
            <w:tcW w:w="874" w:type="dxa"/>
            <w:tcBorders/>
          </w:tcPr>
          <w:p>
            <w:pPr>
              <w:pStyle w:val="Normal"/>
              <w:spacing w:lineRule="auto" w:line="276"/>
              <w:jc w:val="center"/>
              <w:rPr>
                <w:sz w:val="25"/>
                <w:szCs w:val="25"/>
                <w:vertAlign w:val="superscript"/>
              </w:rPr>
            </w:pPr>
            <w:r>
              <w:rPr>
                <w:sz w:val="25"/>
                <w:szCs w:val="25"/>
                <w:vertAlign w:val="superscript"/>
              </w:rPr>
              <w:t>(числом)</w:t>
            </w:r>
          </w:p>
        </w:tc>
        <w:tc>
          <w:tcPr>
            <w:tcW w:w="688" w:type="dxa"/>
            <w:tcBorders/>
          </w:tcPr>
          <w:p>
            <w:pPr>
              <w:pStyle w:val="Normal"/>
              <w:spacing w:lineRule="auto" w:line="276"/>
              <w:rPr>
                <w:sz w:val="25"/>
                <w:szCs w:val="25"/>
              </w:rPr>
            </w:pPr>
            <w:r>
              <w:rPr>
                <w:sz w:val="25"/>
                <w:szCs w:val="25"/>
              </w:rPr>
            </w:r>
          </w:p>
        </w:tc>
      </w:tr>
      <w:tr>
        <w:trPr>
          <w:trHeight w:val="234" w:hRule="atLeast"/>
          <w:cantSplit w:val="true"/>
        </w:trPr>
        <w:tc>
          <w:tcPr>
            <w:tcW w:w="9444" w:type="dxa"/>
            <w:gridSpan w:val="20"/>
            <w:tcBorders/>
          </w:tcPr>
          <w:p>
            <w:pPr>
              <w:pStyle w:val="Normal"/>
              <w:spacing w:lineRule="auto" w:line="276"/>
              <w:jc w:val="both"/>
              <w:rPr>
                <w:sz w:val="25"/>
                <w:szCs w:val="25"/>
              </w:rPr>
            </w:pPr>
            <w:r>
              <w:rPr>
                <w:sz w:val="25"/>
                <w:szCs w:val="25"/>
              </w:rPr>
              <w:t>3. На «Объекте» ТСО заблокировано:</w:t>
            </w:r>
          </w:p>
        </w:tc>
      </w:tr>
      <w:tr>
        <w:trPr>
          <w:cantSplit w:val="true"/>
        </w:trPr>
        <w:tc>
          <w:tcPr>
            <w:tcW w:w="9444" w:type="dxa"/>
            <w:gridSpan w:val="20"/>
            <w:tcBorders>
              <w:bottom w:val="single" w:sz="4" w:space="0" w:color="000000"/>
            </w:tcBorders>
          </w:tcPr>
          <w:p>
            <w:pPr>
              <w:pStyle w:val="Normal"/>
              <w:widowControl/>
              <w:numPr>
                <w:ilvl w:val="0"/>
                <w:numId w:val="5"/>
              </w:numPr>
              <w:tabs>
                <w:tab w:val="clear" w:pos="708"/>
                <w:tab w:val="left" w:pos="284" w:leader="none"/>
              </w:tabs>
              <w:suppressAutoHyphens w:val="false"/>
              <w:spacing w:lineRule="auto" w:line="276"/>
              <w:ind w:left="0" w:hanging="0"/>
              <w:jc w:val="both"/>
              <w:rPr>
                <w:b/>
                <w:b/>
                <w:sz w:val="25"/>
                <w:szCs w:val="25"/>
              </w:rPr>
            </w:pPr>
            <w:r>
              <w:rPr>
                <w:b/>
                <w:sz w:val="25"/>
                <w:szCs w:val="25"/>
              </w:rPr>
            </w:r>
          </w:p>
        </w:tc>
      </w:tr>
      <w:tr>
        <w:trPr>
          <w:cantSplit w:val="true"/>
        </w:trPr>
        <w:tc>
          <w:tcPr>
            <w:tcW w:w="9444" w:type="dxa"/>
            <w:gridSpan w:val="20"/>
            <w:tcBorders>
              <w:top w:val="single" w:sz="4" w:space="0" w:color="000000"/>
              <w:bottom w:val="single" w:sz="4" w:space="0" w:color="000000"/>
            </w:tcBorders>
          </w:tcPr>
          <w:p>
            <w:pPr>
              <w:pStyle w:val="Normal"/>
              <w:widowControl/>
              <w:numPr>
                <w:ilvl w:val="0"/>
                <w:numId w:val="6"/>
              </w:numPr>
              <w:tabs>
                <w:tab w:val="clear" w:pos="708"/>
                <w:tab w:val="left" w:pos="284" w:leader="none"/>
              </w:tabs>
              <w:suppressAutoHyphens w:val="false"/>
              <w:spacing w:lineRule="auto" w:line="276"/>
              <w:ind w:left="0" w:hanging="0"/>
              <w:jc w:val="both"/>
              <w:rPr>
                <w:b/>
                <w:b/>
                <w:sz w:val="25"/>
                <w:szCs w:val="25"/>
              </w:rPr>
            </w:pPr>
            <w:r>
              <w:rPr>
                <w:b/>
                <w:sz w:val="25"/>
                <w:szCs w:val="25"/>
              </w:rPr>
            </w:r>
          </w:p>
        </w:tc>
      </w:tr>
      <w:tr>
        <w:trPr>
          <w:cantSplit w:val="true"/>
        </w:trPr>
        <w:tc>
          <w:tcPr>
            <w:tcW w:w="9444" w:type="dxa"/>
            <w:gridSpan w:val="20"/>
            <w:tcBorders>
              <w:top w:val="single" w:sz="4" w:space="0" w:color="000000"/>
              <w:bottom w:val="single" w:sz="4" w:space="0" w:color="000000"/>
            </w:tcBorders>
          </w:tcPr>
          <w:p>
            <w:pPr>
              <w:pStyle w:val="Normal"/>
              <w:widowControl/>
              <w:numPr>
                <w:ilvl w:val="0"/>
                <w:numId w:val="7"/>
              </w:numPr>
              <w:tabs>
                <w:tab w:val="clear" w:pos="708"/>
                <w:tab w:val="left" w:pos="284" w:leader="none"/>
              </w:tabs>
              <w:suppressAutoHyphens w:val="false"/>
              <w:spacing w:lineRule="auto" w:line="276"/>
              <w:ind w:left="0" w:hanging="0"/>
              <w:jc w:val="both"/>
              <w:rPr>
                <w:b/>
                <w:b/>
                <w:sz w:val="25"/>
                <w:szCs w:val="25"/>
              </w:rPr>
            </w:pPr>
            <w:r>
              <w:rPr>
                <w:b/>
                <w:sz w:val="25"/>
                <w:szCs w:val="25"/>
              </w:rPr>
            </w:r>
          </w:p>
        </w:tc>
      </w:tr>
      <w:tr>
        <w:trPr>
          <w:cantSplit w:val="true"/>
        </w:trPr>
        <w:tc>
          <w:tcPr>
            <w:tcW w:w="9444" w:type="dxa"/>
            <w:gridSpan w:val="20"/>
            <w:tcBorders>
              <w:top w:val="single" w:sz="4" w:space="0" w:color="000000"/>
            </w:tcBorders>
          </w:tcPr>
          <w:p>
            <w:pPr>
              <w:pStyle w:val="Normal"/>
              <w:spacing w:lineRule="auto" w:line="276"/>
              <w:jc w:val="center"/>
              <w:rPr>
                <w:sz w:val="25"/>
                <w:szCs w:val="25"/>
                <w:vertAlign w:val="superscript"/>
              </w:rPr>
            </w:pPr>
            <w:r>
              <w:rPr>
                <w:sz w:val="25"/>
                <w:szCs w:val="25"/>
                <w:vertAlign w:val="superscript"/>
              </w:rPr>
              <w:t>(указать конкретные места)</w:t>
            </w:r>
          </w:p>
        </w:tc>
      </w:tr>
      <w:tr>
        <w:trPr>
          <w:cantSplit w:val="true"/>
        </w:trPr>
        <w:tc>
          <w:tcPr>
            <w:tcW w:w="9444" w:type="dxa"/>
            <w:gridSpan w:val="20"/>
            <w:tcBorders/>
          </w:tcPr>
          <w:p>
            <w:pPr>
              <w:pStyle w:val="Normal"/>
              <w:spacing w:lineRule="auto" w:line="276"/>
              <w:jc w:val="both"/>
              <w:rPr>
                <w:sz w:val="25"/>
                <w:szCs w:val="25"/>
              </w:rPr>
            </w:pPr>
            <w:r>
              <w:rPr>
                <w:sz w:val="25"/>
                <w:szCs w:val="25"/>
              </w:rPr>
              <w:t>4. «Заказчик» отказался от блокировки ТСО:</w:t>
            </w:r>
          </w:p>
        </w:tc>
      </w:tr>
      <w:tr>
        <w:trPr>
          <w:cantSplit w:val="true"/>
        </w:trPr>
        <w:tc>
          <w:tcPr>
            <w:tcW w:w="9444" w:type="dxa"/>
            <w:gridSpan w:val="20"/>
            <w:tcBorders>
              <w:bottom w:val="single" w:sz="4" w:space="0" w:color="000000"/>
            </w:tcBorders>
          </w:tcPr>
          <w:p>
            <w:pPr>
              <w:pStyle w:val="Normal"/>
              <w:widowControl/>
              <w:numPr>
                <w:ilvl w:val="0"/>
                <w:numId w:val="8"/>
              </w:numPr>
              <w:tabs>
                <w:tab w:val="clear" w:pos="708"/>
                <w:tab w:val="left" w:pos="314" w:leader="none"/>
              </w:tabs>
              <w:suppressAutoHyphens w:val="false"/>
              <w:spacing w:lineRule="auto" w:line="276"/>
              <w:ind w:left="0" w:hanging="0"/>
              <w:jc w:val="both"/>
              <w:rPr>
                <w:b/>
                <w:b/>
                <w:sz w:val="25"/>
                <w:szCs w:val="25"/>
              </w:rPr>
            </w:pPr>
            <w:r>
              <w:rPr>
                <w:b/>
                <w:sz w:val="25"/>
                <w:szCs w:val="25"/>
              </w:rPr>
            </w:r>
          </w:p>
        </w:tc>
      </w:tr>
      <w:tr>
        <w:trPr>
          <w:cantSplit w:val="true"/>
        </w:trPr>
        <w:tc>
          <w:tcPr>
            <w:tcW w:w="9444" w:type="dxa"/>
            <w:gridSpan w:val="20"/>
            <w:tcBorders>
              <w:top w:val="single" w:sz="4" w:space="0" w:color="000000"/>
              <w:bottom w:val="single" w:sz="4" w:space="0" w:color="000000"/>
            </w:tcBorders>
          </w:tcPr>
          <w:p>
            <w:pPr>
              <w:pStyle w:val="Normal"/>
              <w:widowControl/>
              <w:numPr>
                <w:ilvl w:val="0"/>
                <w:numId w:val="9"/>
              </w:numPr>
              <w:tabs>
                <w:tab w:val="clear" w:pos="708"/>
                <w:tab w:val="left" w:pos="314" w:leader="none"/>
              </w:tabs>
              <w:suppressAutoHyphens w:val="false"/>
              <w:spacing w:lineRule="auto" w:line="276"/>
              <w:ind w:left="0" w:hanging="0"/>
              <w:jc w:val="both"/>
              <w:rPr>
                <w:b/>
                <w:b/>
                <w:sz w:val="25"/>
                <w:szCs w:val="25"/>
              </w:rPr>
            </w:pPr>
            <w:r>
              <w:rPr>
                <w:b/>
                <w:sz w:val="25"/>
                <w:szCs w:val="25"/>
              </w:rPr>
            </w:r>
          </w:p>
        </w:tc>
      </w:tr>
      <w:tr>
        <w:trPr>
          <w:cantSplit w:val="true"/>
        </w:trPr>
        <w:tc>
          <w:tcPr>
            <w:tcW w:w="9444" w:type="dxa"/>
            <w:gridSpan w:val="20"/>
            <w:tcBorders>
              <w:top w:val="single" w:sz="4" w:space="0" w:color="000000"/>
              <w:bottom w:val="single" w:sz="4" w:space="0" w:color="000000"/>
            </w:tcBorders>
          </w:tcPr>
          <w:p>
            <w:pPr>
              <w:pStyle w:val="Normal"/>
              <w:widowControl/>
              <w:numPr>
                <w:ilvl w:val="0"/>
                <w:numId w:val="10"/>
              </w:numPr>
              <w:tabs>
                <w:tab w:val="clear" w:pos="708"/>
                <w:tab w:val="left" w:pos="314" w:leader="none"/>
              </w:tabs>
              <w:suppressAutoHyphens w:val="false"/>
              <w:spacing w:lineRule="auto" w:line="276"/>
              <w:ind w:left="0" w:hanging="0"/>
              <w:jc w:val="both"/>
              <w:rPr>
                <w:b/>
                <w:b/>
                <w:sz w:val="25"/>
                <w:szCs w:val="25"/>
              </w:rPr>
            </w:pPr>
            <w:r>
              <w:rPr>
                <w:b/>
                <w:sz w:val="25"/>
                <w:szCs w:val="25"/>
              </w:rPr>
            </w:r>
          </w:p>
        </w:tc>
      </w:tr>
      <w:tr>
        <w:trPr>
          <w:cantSplit w:val="true"/>
        </w:trPr>
        <w:tc>
          <w:tcPr>
            <w:tcW w:w="9444" w:type="dxa"/>
            <w:gridSpan w:val="20"/>
            <w:tcBorders>
              <w:top w:val="single" w:sz="4" w:space="0" w:color="000000"/>
              <w:bottom w:val="single" w:sz="4" w:space="0" w:color="000000"/>
            </w:tcBorders>
          </w:tcPr>
          <w:p>
            <w:pPr>
              <w:pStyle w:val="Normal"/>
              <w:widowControl/>
              <w:numPr>
                <w:ilvl w:val="0"/>
                <w:numId w:val="11"/>
              </w:numPr>
              <w:tabs>
                <w:tab w:val="clear" w:pos="708"/>
                <w:tab w:val="left" w:pos="314" w:leader="none"/>
              </w:tabs>
              <w:suppressAutoHyphens w:val="false"/>
              <w:spacing w:lineRule="auto" w:line="276"/>
              <w:ind w:left="0" w:hanging="0"/>
              <w:jc w:val="both"/>
              <w:rPr>
                <w:b/>
                <w:b/>
                <w:sz w:val="25"/>
                <w:szCs w:val="25"/>
              </w:rPr>
            </w:pPr>
            <w:r>
              <w:rPr>
                <w:b/>
                <w:sz w:val="25"/>
                <w:szCs w:val="25"/>
              </w:rPr>
            </w:r>
          </w:p>
        </w:tc>
      </w:tr>
      <w:tr>
        <w:trPr>
          <w:cantSplit w:val="true"/>
        </w:trPr>
        <w:tc>
          <w:tcPr>
            <w:tcW w:w="9444" w:type="dxa"/>
            <w:gridSpan w:val="20"/>
            <w:tcBorders>
              <w:top w:val="single" w:sz="4" w:space="0" w:color="000000"/>
              <w:bottom w:val="single" w:sz="4" w:space="0" w:color="000000"/>
            </w:tcBorders>
          </w:tcPr>
          <w:p>
            <w:pPr>
              <w:pStyle w:val="Normal"/>
              <w:widowControl/>
              <w:numPr>
                <w:ilvl w:val="0"/>
                <w:numId w:val="12"/>
              </w:numPr>
              <w:tabs>
                <w:tab w:val="clear" w:pos="708"/>
                <w:tab w:val="left" w:pos="314" w:leader="none"/>
              </w:tabs>
              <w:suppressAutoHyphens w:val="false"/>
              <w:spacing w:lineRule="auto" w:line="276"/>
              <w:ind w:left="0" w:hanging="0"/>
              <w:jc w:val="both"/>
              <w:rPr>
                <w:b/>
                <w:b/>
                <w:sz w:val="25"/>
                <w:szCs w:val="25"/>
              </w:rPr>
            </w:pPr>
            <w:r>
              <w:rPr>
                <w:b/>
                <w:sz w:val="25"/>
                <w:szCs w:val="25"/>
              </w:rPr>
            </w:r>
          </w:p>
        </w:tc>
      </w:tr>
      <w:tr>
        <w:trPr>
          <w:cantSplit w:val="true"/>
        </w:trPr>
        <w:tc>
          <w:tcPr>
            <w:tcW w:w="2517" w:type="dxa"/>
            <w:gridSpan w:val="6"/>
            <w:tcBorders>
              <w:top w:val="single" w:sz="4" w:space="0" w:color="000000"/>
              <w:bottom w:val="single" w:sz="4" w:space="0" w:color="000000"/>
            </w:tcBorders>
          </w:tcPr>
          <w:p>
            <w:pPr>
              <w:pStyle w:val="Normal"/>
              <w:spacing w:lineRule="auto" w:line="276"/>
              <w:rPr>
                <w:sz w:val="25"/>
                <w:szCs w:val="25"/>
              </w:rPr>
            </w:pPr>
            <w:r>
              <w:rPr>
                <w:sz w:val="25"/>
                <w:szCs w:val="25"/>
              </w:rPr>
            </w:r>
          </w:p>
        </w:tc>
        <w:tc>
          <w:tcPr>
            <w:tcW w:w="6927" w:type="dxa"/>
            <w:gridSpan w:val="14"/>
            <w:tcBorders>
              <w:top w:val="single" w:sz="4" w:space="0" w:color="000000"/>
            </w:tcBorders>
          </w:tcPr>
          <w:p>
            <w:pPr>
              <w:pStyle w:val="Normal"/>
              <w:spacing w:lineRule="auto" w:line="276"/>
              <w:rPr>
                <w:sz w:val="25"/>
                <w:szCs w:val="25"/>
              </w:rPr>
            </w:pPr>
            <w:r>
              <w:rPr>
                <w:sz w:val="25"/>
                <w:szCs w:val="25"/>
              </w:rPr>
            </w:r>
          </w:p>
        </w:tc>
      </w:tr>
      <w:tr>
        <w:trPr>
          <w:cantSplit w:val="true"/>
        </w:trPr>
        <w:tc>
          <w:tcPr>
            <w:tcW w:w="2517" w:type="dxa"/>
            <w:gridSpan w:val="6"/>
            <w:tcBorders>
              <w:top w:val="single" w:sz="4" w:space="0" w:color="000000"/>
            </w:tcBorders>
          </w:tcPr>
          <w:p>
            <w:pPr>
              <w:pStyle w:val="Normal"/>
              <w:spacing w:lineRule="auto" w:line="276"/>
              <w:jc w:val="center"/>
              <w:rPr>
                <w:b/>
                <w:b/>
                <w:sz w:val="25"/>
                <w:szCs w:val="25"/>
                <w:vertAlign w:val="superscript"/>
              </w:rPr>
            </w:pPr>
            <w:r>
              <w:rPr>
                <w:b/>
                <w:sz w:val="25"/>
                <w:szCs w:val="25"/>
                <w:vertAlign w:val="superscript"/>
              </w:rPr>
              <w:t>(подпись «Заказчика»)</w:t>
            </w:r>
          </w:p>
        </w:tc>
        <w:tc>
          <w:tcPr>
            <w:tcW w:w="6927" w:type="dxa"/>
            <w:gridSpan w:val="14"/>
            <w:tcBorders/>
          </w:tcPr>
          <w:p>
            <w:pPr>
              <w:pStyle w:val="Normal"/>
              <w:spacing w:lineRule="auto" w:line="276"/>
              <w:rPr>
                <w:sz w:val="25"/>
                <w:szCs w:val="25"/>
              </w:rPr>
            </w:pPr>
            <w:r>
              <w:rPr>
                <w:sz w:val="25"/>
                <w:szCs w:val="25"/>
              </w:rPr>
            </w:r>
          </w:p>
        </w:tc>
      </w:tr>
      <w:tr>
        <w:trPr>
          <w:cantSplit w:val="true"/>
        </w:trPr>
        <w:tc>
          <w:tcPr>
            <w:tcW w:w="9444" w:type="dxa"/>
            <w:gridSpan w:val="20"/>
            <w:tcBorders>
              <w:bottom w:val="single" w:sz="4" w:space="0" w:color="000000"/>
            </w:tcBorders>
          </w:tcPr>
          <w:p>
            <w:pPr>
              <w:pStyle w:val="Normal"/>
              <w:spacing w:lineRule="auto" w:line="276"/>
              <w:jc w:val="both"/>
              <w:rPr>
                <w:sz w:val="25"/>
                <w:szCs w:val="25"/>
              </w:rPr>
            </w:pPr>
            <w:r>
              <w:rPr>
                <w:sz w:val="25"/>
                <w:szCs w:val="25"/>
              </w:rPr>
              <w:t>5. Доверенные лица «Заказчика»:</w:t>
            </w:r>
          </w:p>
        </w:tc>
      </w:tr>
      <w:tr>
        <w:trPr>
          <w:trHeight w:val="340" w:hRule="exact"/>
          <w:cantSplit w:val="true"/>
        </w:trPr>
        <w:tc>
          <w:tcPr>
            <w:tcW w:w="9444" w:type="dxa"/>
            <w:gridSpan w:val="20"/>
            <w:tcBorders>
              <w:top w:val="single" w:sz="4" w:space="0" w:color="000000"/>
              <w:bottom w:val="single" w:sz="4" w:space="0" w:color="000000"/>
            </w:tcBorders>
            <w:vAlign w:val="bottom"/>
          </w:tcPr>
          <w:p>
            <w:pPr>
              <w:pStyle w:val="ListParagraph"/>
              <w:spacing w:lineRule="auto" w:line="276"/>
              <w:ind w:left="0" w:hanging="0"/>
              <w:jc w:val="both"/>
              <w:rPr>
                <w:b/>
                <w:b/>
                <w:sz w:val="25"/>
                <w:szCs w:val="25"/>
              </w:rPr>
            </w:pPr>
            <w:r>
              <w:rPr>
                <w:b/>
                <w:sz w:val="25"/>
                <w:szCs w:val="25"/>
              </w:rPr>
            </w:r>
          </w:p>
        </w:tc>
      </w:tr>
      <w:tr>
        <w:trPr>
          <w:trHeight w:val="340" w:hRule="exact"/>
          <w:cantSplit w:val="true"/>
        </w:trPr>
        <w:tc>
          <w:tcPr>
            <w:tcW w:w="9444" w:type="dxa"/>
            <w:gridSpan w:val="20"/>
            <w:tcBorders>
              <w:top w:val="single" w:sz="4" w:space="0" w:color="000000"/>
              <w:bottom w:val="single" w:sz="4" w:space="0" w:color="000000"/>
            </w:tcBorders>
            <w:vAlign w:val="bottom"/>
          </w:tcPr>
          <w:p>
            <w:pPr>
              <w:pStyle w:val="Normal"/>
              <w:spacing w:lineRule="auto" w:line="276"/>
              <w:jc w:val="both"/>
              <w:rPr>
                <w:b/>
                <w:b/>
                <w:sz w:val="25"/>
                <w:szCs w:val="25"/>
              </w:rPr>
            </w:pPr>
            <w:r>
              <w:rPr>
                <w:b/>
                <w:sz w:val="25"/>
                <w:szCs w:val="25"/>
              </w:rPr>
            </w:r>
          </w:p>
        </w:tc>
      </w:tr>
      <w:tr>
        <w:trPr>
          <w:trHeight w:val="340" w:hRule="atLeast"/>
          <w:cantSplit w:val="true"/>
        </w:trPr>
        <w:tc>
          <w:tcPr>
            <w:tcW w:w="9444" w:type="dxa"/>
            <w:gridSpan w:val="20"/>
            <w:tcBorders>
              <w:top w:val="single" w:sz="4" w:space="0" w:color="000000"/>
            </w:tcBorders>
          </w:tcPr>
          <w:p>
            <w:pPr>
              <w:pStyle w:val="Normal"/>
              <w:spacing w:lineRule="auto" w:line="276"/>
              <w:jc w:val="center"/>
              <w:rPr>
                <w:sz w:val="25"/>
                <w:szCs w:val="25"/>
                <w:vertAlign w:val="superscript"/>
              </w:rPr>
            </w:pPr>
            <w:r>
              <w:rPr>
                <w:sz w:val="25"/>
                <w:szCs w:val="25"/>
                <w:vertAlign w:val="superscript"/>
              </w:rPr>
              <w:t>(фамилия, имя, отчество)</w:t>
            </w:r>
          </w:p>
        </w:tc>
      </w:tr>
      <w:tr>
        <w:trPr>
          <w:trHeight w:val="80" w:hRule="atLeast"/>
          <w:cantSplit w:val="true"/>
        </w:trPr>
        <w:tc>
          <w:tcPr>
            <w:tcW w:w="3623" w:type="dxa"/>
            <w:gridSpan w:val="8"/>
            <w:tcBorders/>
          </w:tcPr>
          <w:p>
            <w:pPr>
              <w:pStyle w:val="Normal"/>
              <w:spacing w:lineRule="auto" w:line="276"/>
              <w:rPr>
                <w:sz w:val="25"/>
                <w:szCs w:val="25"/>
              </w:rPr>
            </w:pPr>
            <w:r>
              <w:rPr>
                <w:sz w:val="25"/>
                <w:szCs w:val="25"/>
              </w:rPr>
              <w:t>Проживающий по адресу:</w:t>
            </w:r>
          </w:p>
        </w:tc>
        <w:tc>
          <w:tcPr>
            <w:tcW w:w="5821" w:type="dxa"/>
            <w:gridSpan w:val="12"/>
            <w:tcBorders/>
          </w:tcPr>
          <w:p>
            <w:pPr>
              <w:pStyle w:val="ListParagraph"/>
              <w:spacing w:lineRule="auto" w:line="276"/>
              <w:ind w:left="0" w:hanging="0"/>
              <w:rPr>
                <w:b/>
                <w:b/>
                <w:sz w:val="25"/>
                <w:szCs w:val="25"/>
              </w:rPr>
            </w:pPr>
            <w:r>
              <w:rPr>
                <w:b/>
                <w:sz w:val="25"/>
                <w:szCs w:val="25"/>
              </w:rPr>
            </w:r>
          </w:p>
        </w:tc>
      </w:tr>
      <w:tr>
        <w:trPr>
          <w:trHeight w:val="80" w:hRule="atLeast"/>
          <w:cantSplit w:val="true"/>
        </w:trPr>
        <w:tc>
          <w:tcPr>
            <w:tcW w:w="9444" w:type="dxa"/>
            <w:gridSpan w:val="20"/>
            <w:tcBorders>
              <w:bottom w:val="single" w:sz="4" w:space="0" w:color="000000"/>
            </w:tcBorders>
          </w:tcPr>
          <w:p>
            <w:pPr>
              <w:pStyle w:val="Normal"/>
              <w:spacing w:lineRule="auto" w:line="276"/>
              <w:rPr>
                <w:b/>
                <w:b/>
                <w:sz w:val="25"/>
                <w:szCs w:val="25"/>
              </w:rPr>
            </w:pPr>
            <w:r>
              <w:rPr>
                <w:b/>
                <w:sz w:val="25"/>
                <w:szCs w:val="25"/>
              </w:rPr>
            </w:r>
          </w:p>
        </w:tc>
      </w:tr>
      <w:tr>
        <w:trPr>
          <w:cantSplit w:val="true"/>
        </w:trPr>
        <w:tc>
          <w:tcPr>
            <w:tcW w:w="3623" w:type="dxa"/>
            <w:gridSpan w:val="8"/>
            <w:tcBorders>
              <w:top w:val="single" w:sz="4" w:space="0" w:color="000000"/>
            </w:tcBorders>
          </w:tcPr>
          <w:p>
            <w:pPr>
              <w:pStyle w:val="Normal"/>
              <w:spacing w:lineRule="auto" w:line="276"/>
              <w:rPr>
                <w:sz w:val="25"/>
                <w:szCs w:val="25"/>
              </w:rPr>
            </w:pPr>
            <w:r>
              <w:rPr>
                <w:sz w:val="25"/>
                <w:szCs w:val="25"/>
              </w:rPr>
              <w:t>Мобильный телефон:</w:t>
            </w:r>
          </w:p>
        </w:tc>
        <w:tc>
          <w:tcPr>
            <w:tcW w:w="5821" w:type="dxa"/>
            <w:gridSpan w:val="12"/>
            <w:tcBorders>
              <w:top w:val="single" w:sz="4" w:space="0" w:color="000000"/>
              <w:bottom w:val="single" w:sz="4" w:space="0" w:color="000000"/>
            </w:tcBorders>
          </w:tcPr>
          <w:p>
            <w:pPr>
              <w:pStyle w:val="Style22"/>
              <w:tabs>
                <w:tab w:val="clear" w:pos="4153"/>
                <w:tab w:val="clear" w:pos="8306"/>
              </w:tabs>
              <w:spacing w:lineRule="auto" w:line="276"/>
              <w:rPr>
                <w:b/>
                <w:b/>
                <w:sz w:val="25"/>
                <w:szCs w:val="25"/>
              </w:rPr>
            </w:pPr>
            <w:r>
              <w:rPr>
                <w:b/>
                <w:sz w:val="25"/>
                <w:szCs w:val="25"/>
              </w:rPr>
            </w:r>
          </w:p>
        </w:tc>
      </w:tr>
      <w:tr>
        <w:trPr>
          <w:cantSplit w:val="true"/>
        </w:trPr>
        <w:tc>
          <w:tcPr>
            <w:tcW w:w="3623" w:type="dxa"/>
            <w:gridSpan w:val="8"/>
            <w:tcBorders/>
          </w:tcPr>
          <w:p>
            <w:pPr>
              <w:pStyle w:val="Normal"/>
              <w:spacing w:lineRule="auto" w:line="276"/>
              <w:rPr>
                <w:sz w:val="25"/>
                <w:szCs w:val="25"/>
              </w:rPr>
            </w:pPr>
            <w:r>
              <w:rPr>
                <w:sz w:val="25"/>
                <w:szCs w:val="25"/>
              </w:rPr>
              <w:t>Служебный телефон:</w:t>
            </w:r>
          </w:p>
        </w:tc>
        <w:tc>
          <w:tcPr>
            <w:tcW w:w="5821" w:type="dxa"/>
            <w:gridSpan w:val="12"/>
            <w:tcBorders>
              <w:top w:val="single" w:sz="4" w:space="0" w:color="000000"/>
              <w:bottom w:val="single" w:sz="4" w:space="0" w:color="000000"/>
            </w:tcBorders>
          </w:tcPr>
          <w:p>
            <w:pPr>
              <w:pStyle w:val="Style22"/>
              <w:tabs>
                <w:tab w:val="clear" w:pos="4153"/>
                <w:tab w:val="clear" w:pos="8306"/>
              </w:tabs>
              <w:spacing w:lineRule="auto" w:line="276"/>
              <w:rPr>
                <w:b/>
                <w:b/>
                <w:sz w:val="25"/>
                <w:szCs w:val="25"/>
              </w:rPr>
            </w:pPr>
            <w:r>
              <w:rPr>
                <w:b/>
                <w:sz w:val="25"/>
                <w:szCs w:val="25"/>
              </w:rPr>
            </w:r>
          </w:p>
        </w:tc>
      </w:tr>
      <w:tr>
        <w:trPr>
          <w:cantSplit w:val="true"/>
        </w:trPr>
        <w:tc>
          <w:tcPr>
            <w:tcW w:w="9444" w:type="dxa"/>
            <w:gridSpan w:val="20"/>
            <w:tcBorders/>
          </w:tcPr>
          <w:p>
            <w:pPr>
              <w:pStyle w:val="Style22"/>
              <w:tabs>
                <w:tab w:val="clear" w:pos="4153"/>
                <w:tab w:val="clear" w:pos="8306"/>
              </w:tabs>
              <w:spacing w:lineRule="auto" w:line="276"/>
              <w:jc w:val="center"/>
              <w:rPr/>
            </w:pPr>
            <w:r>
              <w:rPr/>
            </w:r>
          </w:p>
        </w:tc>
      </w:tr>
      <w:tr>
        <w:trPr>
          <w:cantSplit w:val="true"/>
        </w:trPr>
        <w:tc>
          <w:tcPr>
            <w:tcW w:w="9444" w:type="dxa"/>
            <w:gridSpan w:val="20"/>
            <w:tcBorders>
              <w:bottom w:val="single" w:sz="4" w:space="0" w:color="000000"/>
            </w:tcBorders>
          </w:tcPr>
          <w:p>
            <w:pPr>
              <w:pStyle w:val="Normal"/>
              <w:spacing w:lineRule="auto" w:line="276"/>
              <w:rPr>
                <w:b/>
                <w:b/>
                <w:sz w:val="25"/>
                <w:szCs w:val="25"/>
                <w:u w:val="single"/>
              </w:rPr>
            </w:pPr>
            <w:r>
              <w:rPr>
                <w:sz w:val="25"/>
                <w:szCs w:val="25"/>
              </w:rPr>
              <w:t>6. Члены семьи «Заказчика»:</w:t>
            </w:r>
          </w:p>
        </w:tc>
      </w:tr>
      <w:tr>
        <w:trPr>
          <w:trHeight w:val="340" w:hRule="exact"/>
          <w:cantSplit w:val="true"/>
        </w:trPr>
        <w:tc>
          <w:tcPr>
            <w:tcW w:w="9444" w:type="dxa"/>
            <w:gridSpan w:val="20"/>
            <w:tcBorders>
              <w:top w:val="single" w:sz="4" w:space="0" w:color="000000"/>
              <w:bottom w:val="single" w:sz="4" w:space="0" w:color="000000"/>
            </w:tcBorders>
            <w:vAlign w:val="bottom"/>
          </w:tcPr>
          <w:p>
            <w:pPr>
              <w:pStyle w:val="ListParagraph"/>
              <w:spacing w:lineRule="auto" w:line="276"/>
              <w:ind w:left="0" w:hanging="0"/>
              <w:jc w:val="both"/>
              <w:rPr>
                <w:b/>
                <w:b/>
                <w:sz w:val="25"/>
                <w:szCs w:val="25"/>
              </w:rPr>
            </w:pPr>
            <w:r>
              <w:rPr>
                <w:b/>
                <w:sz w:val="25"/>
                <w:szCs w:val="25"/>
              </w:rPr>
            </w:r>
          </w:p>
        </w:tc>
      </w:tr>
      <w:tr>
        <w:trPr>
          <w:trHeight w:val="340" w:hRule="atLeast"/>
          <w:cantSplit w:val="true"/>
        </w:trPr>
        <w:tc>
          <w:tcPr>
            <w:tcW w:w="9444" w:type="dxa"/>
            <w:gridSpan w:val="20"/>
            <w:tcBorders>
              <w:top w:val="single" w:sz="4" w:space="0" w:color="000000"/>
              <w:bottom w:val="single" w:sz="4" w:space="0" w:color="000000"/>
            </w:tcBorders>
            <w:vAlign w:val="bottom"/>
          </w:tcPr>
          <w:p>
            <w:pPr>
              <w:pStyle w:val="ListParagraph"/>
              <w:spacing w:lineRule="auto" w:line="276"/>
              <w:ind w:left="0" w:hanging="0"/>
              <w:jc w:val="both"/>
              <w:rPr>
                <w:b/>
                <w:b/>
                <w:sz w:val="25"/>
                <w:szCs w:val="25"/>
              </w:rPr>
            </w:pPr>
            <w:r>
              <w:rPr>
                <w:b/>
                <w:sz w:val="25"/>
                <w:szCs w:val="25"/>
              </w:rPr>
            </w:r>
          </w:p>
        </w:tc>
      </w:tr>
      <w:tr>
        <w:trPr>
          <w:trHeight w:val="340" w:hRule="atLeast"/>
          <w:cantSplit w:val="true"/>
        </w:trPr>
        <w:tc>
          <w:tcPr>
            <w:tcW w:w="9444" w:type="dxa"/>
            <w:gridSpan w:val="20"/>
            <w:tcBorders>
              <w:top w:val="single" w:sz="4" w:space="0" w:color="000000"/>
            </w:tcBorders>
          </w:tcPr>
          <w:p>
            <w:pPr>
              <w:pStyle w:val="Normal"/>
              <w:spacing w:lineRule="auto" w:line="276"/>
              <w:jc w:val="center"/>
              <w:rPr>
                <w:sz w:val="25"/>
                <w:szCs w:val="25"/>
                <w:vertAlign w:val="superscript"/>
              </w:rPr>
            </w:pPr>
            <w:r>
              <w:rPr>
                <w:sz w:val="25"/>
                <w:szCs w:val="25"/>
                <w:vertAlign w:val="superscript"/>
              </w:rPr>
              <w:t>(фамилия, имя, отчество)</w:t>
            </w:r>
          </w:p>
        </w:tc>
      </w:tr>
      <w:tr>
        <w:trPr>
          <w:cantSplit w:val="true"/>
        </w:trPr>
        <w:tc>
          <w:tcPr>
            <w:tcW w:w="3623" w:type="dxa"/>
            <w:gridSpan w:val="8"/>
            <w:tcBorders/>
          </w:tcPr>
          <w:p>
            <w:pPr>
              <w:pStyle w:val="Normal"/>
              <w:spacing w:lineRule="auto" w:line="276"/>
              <w:rPr>
                <w:sz w:val="25"/>
                <w:szCs w:val="25"/>
              </w:rPr>
            </w:pPr>
            <w:r>
              <w:rPr>
                <w:sz w:val="25"/>
                <w:szCs w:val="25"/>
              </w:rPr>
              <w:t>Мобильный телефон:</w:t>
            </w:r>
          </w:p>
        </w:tc>
        <w:tc>
          <w:tcPr>
            <w:tcW w:w="5821" w:type="dxa"/>
            <w:gridSpan w:val="12"/>
            <w:tcBorders>
              <w:bottom w:val="single" w:sz="4" w:space="0" w:color="000000"/>
            </w:tcBorders>
          </w:tcPr>
          <w:p>
            <w:pPr>
              <w:pStyle w:val="ListParagraph"/>
              <w:widowControl/>
              <w:spacing w:lineRule="auto" w:line="276"/>
              <w:ind w:left="0" w:hanging="0"/>
              <w:jc w:val="both"/>
              <w:rPr>
                <w:b/>
                <w:b/>
                <w:sz w:val="25"/>
                <w:szCs w:val="25"/>
              </w:rPr>
            </w:pPr>
            <w:r>
              <w:rPr>
                <w:b/>
                <w:sz w:val="25"/>
                <w:szCs w:val="25"/>
              </w:rPr>
            </w:r>
          </w:p>
        </w:tc>
      </w:tr>
      <w:tr>
        <w:trPr>
          <w:cantSplit w:val="true"/>
        </w:trPr>
        <w:tc>
          <w:tcPr>
            <w:tcW w:w="3623" w:type="dxa"/>
            <w:gridSpan w:val="8"/>
            <w:tcBorders/>
          </w:tcPr>
          <w:p>
            <w:pPr>
              <w:pStyle w:val="Normal"/>
              <w:spacing w:lineRule="auto" w:line="276"/>
              <w:rPr>
                <w:sz w:val="25"/>
                <w:szCs w:val="25"/>
              </w:rPr>
            </w:pPr>
            <w:r>
              <w:rPr>
                <w:sz w:val="25"/>
                <w:szCs w:val="25"/>
              </w:rPr>
              <w:t>Служебный телефон:</w:t>
            </w:r>
          </w:p>
        </w:tc>
        <w:tc>
          <w:tcPr>
            <w:tcW w:w="5821" w:type="dxa"/>
            <w:gridSpan w:val="12"/>
            <w:tcBorders>
              <w:top w:val="single" w:sz="4" w:space="0" w:color="000000"/>
              <w:bottom w:val="single" w:sz="4" w:space="0" w:color="000000"/>
            </w:tcBorders>
          </w:tcPr>
          <w:p>
            <w:pPr>
              <w:pStyle w:val="Normal"/>
              <w:spacing w:lineRule="auto" w:line="276"/>
              <w:rPr>
                <w:b/>
                <w:b/>
                <w:sz w:val="25"/>
                <w:szCs w:val="25"/>
              </w:rPr>
            </w:pPr>
            <w:r>
              <w:rPr>
                <w:b/>
                <w:sz w:val="25"/>
                <w:szCs w:val="25"/>
              </w:rPr>
            </w:r>
          </w:p>
        </w:tc>
      </w:tr>
      <w:tr>
        <w:trPr>
          <w:trHeight w:val="340" w:hRule="exact"/>
        </w:trPr>
        <w:tc>
          <w:tcPr>
            <w:tcW w:w="9444" w:type="dxa"/>
            <w:gridSpan w:val="20"/>
            <w:tcBorders/>
          </w:tcPr>
          <w:p>
            <w:pPr>
              <w:pStyle w:val="Style22"/>
              <w:tabs>
                <w:tab w:val="clear" w:pos="4153"/>
                <w:tab w:val="clear" w:pos="8306"/>
              </w:tabs>
              <w:spacing w:lineRule="auto" w:line="276"/>
              <w:jc w:val="both"/>
              <w:rPr/>
            </w:pPr>
            <w:r>
              <w:rPr/>
            </w:r>
          </w:p>
        </w:tc>
      </w:tr>
      <w:tr>
        <w:trPr/>
        <w:tc>
          <w:tcPr>
            <w:tcW w:w="9444" w:type="dxa"/>
            <w:gridSpan w:val="20"/>
            <w:tcBorders/>
          </w:tcPr>
          <w:p>
            <w:pPr>
              <w:pStyle w:val="Style22"/>
              <w:tabs>
                <w:tab w:val="clear" w:pos="4153"/>
                <w:tab w:val="clear" w:pos="8306"/>
              </w:tabs>
              <w:spacing w:lineRule="auto" w:line="276"/>
              <w:jc w:val="both"/>
              <w:rPr>
                <w:sz w:val="25"/>
                <w:szCs w:val="25"/>
              </w:rPr>
            </w:pPr>
            <w:r>
              <w:rPr>
                <w:sz w:val="25"/>
                <w:szCs w:val="25"/>
              </w:rPr>
              <w:t>7. Ключи от входной двери «Объекта» на хранение в количестве:</w:t>
            </w:r>
          </w:p>
        </w:tc>
      </w:tr>
      <w:tr>
        <w:trPr/>
        <w:tc>
          <w:tcPr>
            <w:tcW w:w="9444" w:type="dxa"/>
            <w:gridSpan w:val="20"/>
            <w:tcBorders>
              <w:bottom w:val="single" w:sz="4" w:space="0" w:color="000000"/>
            </w:tcBorders>
          </w:tcPr>
          <w:p>
            <w:pPr>
              <w:pStyle w:val="Style22"/>
              <w:tabs>
                <w:tab w:val="clear" w:pos="4153"/>
                <w:tab w:val="clear" w:pos="8306"/>
              </w:tabs>
              <w:spacing w:lineRule="auto" w:line="276"/>
              <w:jc w:val="right"/>
              <w:rPr>
                <w:sz w:val="25"/>
                <w:szCs w:val="25"/>
              </w:rPr>
            </w:pPr>
            <w:r>
              <w:rPr>
                <w:sz w:val="25"/>
                <w:szCs w:val="25"/>
              </w:rPr>
              <w:t>(                                                 ) шт.</w:t>
            </w:r>
          </w:p>
        </w:tc>
      </w:tr>
      <w:tr>
        <w:trPr>
          <w:trHeight w:val="340" w:hRule="atLeast"/>
        </w:trPr>
        <w:tc>
          <w:tcPr>
            <w:tcW w:w="9444" w:type="dxa"/>
            <w:gridSpan w:val="20"/>
            <w:tcBorders>
              <w:top w:val="single" w:sz="4" w:space="0" w:color="000000"/>
            </w:tcBorders>
          </w:tcPr>
          <w:p>
            <w:pPr>
              <w:pStyle w:val="Style22"/>
              <w:tabs>
                <w:tab w:val="clear" w:pos="4153"/>
                <w:tab w:val="clear" w:pos="8306"/>
              </w:tabs>
              <w:spacing w:lineRule="auto" w:line="276"/>
              <w:rPr>
                <w:sz w:val="25"/>
                <w:szCs w:val="25"/>
              </w:rPr>
            </w:pPr>
            <w:r>
              <w:rPr>
                <w:sz w:val="25"/>
                <w:szCs w:val="25"/>
                <w:vertAlign w:val="superscript"/>
              </w:rPr>
              <w:t xml:space="preserve">                                                                  </w:t>
            </w:r>
            <w:r>
              <w:rPr>
                <w:sz w:val="25"/>
                <w:szCs w:val="25"/>
                <w:vertAlign w:val="superscript"/>
              </w:rPr>
              <w:t>(числом)</w:t>
            </w:r>
          </w:p>
        </w:tc>
      </w:tr>
      <w:tr>
        <w:trPr>
          <w:cantSplit w:val="true"/>
        </w:trPr>
        <w:tc>
          <w:tcPr>
            <w:tcW w:w="5442" w:type="dxa"/>
            <w:gridSpan w:val="13"/>
            <w:tcBorders/>
          </w:tcPr>
          <w:p>
            <w:pPr>
              <w:pStyle w:val="Normal"/>
              <w:jc w:val="both"/>
              <w:rPr>
                <w:sz w:val="25"/>
                <w:szCs w:val="25"/>
              </w:rPr>
            </w:pPr>
            <w:r>
              <w:rPr>
                <w:sz w:val="25"/>
                <w:szCs w:val="25"/>
              </w:rPr>
              <w:t>и ключи входных дверей подъезда в количестве:</w:t>
            </w:r>
          </w:p>
        </w:tc>
        <w:tc>
          <w:tcPr>
            <w:tcW w:w="4002" w:type="dxa"/>
            <w:gridSpan w:val="7"/>
            <w:tcBorders>
              <w:bottom w:val="single" w:sz="4" w:space="0" w:color="000000"/>
            </w:tcBorders>
          </w:tcPr>
          <w:p>
            <w:pPr>
              <w:pStyle w:val="Normal"/>
              <w:jc w:val="right"/>
              <w:rPr>
                <w:sz w:val="25"/>
                <w:szCs w:val="25"/>
              </w:rPr>
            </w:pPr>
            <w:r>
              <w:rPr>
                <w:sz w:val="25"/>
                <w:szCs w:val="25"/>
              </w:rPr>
              <w:t>(                                  ) шт.</w:t>
            </w:r>
          </w:p>
        </w:tc>
      </w:tr>
      <w:tr>
        <w:trPr>
          <w:trHeight w:val="70" w:hRule="atLeast"/>
          <w:cantSplit w:val="true"/>
        </w:trPr>
        <w:tc>
          <w:tcPr>
            <w:tcW w:w="5442" w:type="dxa"/>
            <w:gridSpan w:val="13"/>
            <w:tcBorders/>
            <w:vAlign w:val="bottom"/>
          </w:tcPr>
          <w:p>
            <w:pPr>
              <w:pStyle w:val="Normal"/>
              <w:spacing w:lineRule="auto" w:line="276"/>
              <w:jc w:val="both"/>
              <w:rPr>
                <w:sz w:val="25"/>
                <w:szCs w:val="25"/>
                <w:vertAlign w:val="superscript"/>
              </w:rPr>
            </w:pPr>
            <w:r>
              <w:rPr>
                <w:sz w:val="25"/>
                <w:szCs w:val="25"/>
                <w:vertAlign w:val="superscript"/>
              </w:rPr>
            </w:r>
          </w:p>
        </w:tc>
        <w:tc>
          <w:tcPr>
            <w:tcW w:w="4002" w:type="dxa"/>
            <w:gridSpan w:val="7"/>
            <w:tcBorders/>
            <w:vAlign w:val="bottom"/>
          </w:tcPr>
          <w:p>
            <w:pPr>
              <w:pStyle w:val="Normal"/>
              <w:spacing w:lineRule="auto" w:line="276"/>
              <w:jc w:val="both"/>
              <w:rPr>
                <w:sz w:val="25"/>
                <w:szCs w:val="25"/>
                <w:vertAlign w:val="superscript"/>
              </w:rPr>
            </w:pPr>
            <w:r>
              <w:rPr>
                <w:sz w:val="25"/>
                <w:szCs w:val="25"/>
                <w:vertAlign w:val="superscript"/>
              </w:rPr>
              <w:t>(числом)</w:t>
            </w:r>
          </w:p>
        </w:tc>
      </w:tr>
      <w:tr>
        <w:trPr>
          <w:cantSplit w:val="true"/>
        </w:trPr>
        <w:tc>
          <w:tcPr>
            <w:tcW w:w="1062" w:type="dxa"/>
            <w:tcBorders/>
            <w:vAlign w:val="bottom"/>
          </w:tcPr>
          <w:p>
            <w:pPr>
              <w:pStyle w:val="Normal"/>
              <w:spacing w:lineRule="auto" w:line="276"/>
              <w:jc w:val="both"/>
              <w:rPr>
                <w:sz w:val="25"/>
                <w:szCs w:val="25"/>
              </w:rPr>
            </w:pPr>
            <w:r>
              <w:rPr>
                <w:sz w:val="25"/>
                <w:szCs w:val="25"/>
              </w:rPr>
              <w:t>принял</w:t>
            </w:r>
          </w:p>
        </w:tc>
        <w:tc>
          <w:tcPr>
            <w:tcW w:w="236" w:type="dxa"/>
            <w:tcBorders/>
            <w:vAlign w:val="bottom"/>
          </w:tcPr>
          <w:p>
            <w:pPr>
              <w:pStyle w:val="Normal"/>
              <w:spacing w:lineRule="auto" w:line="276"/>
              <w:ind w:left="-108" w:hanging="0"/>
              <w:rPr>
                <w:sz w:val="25"/>
                <w:szCs w:val="25"/>
              </w:rPr>
            </w:pPr>
            <w:r>
              <w:rPr>
                <w:sz w:val="25"/>
                <w:szCs w:val="25"/>
              </w:rPr>
              <w:t>«</w:t>
            </w:r>
          </w:p>
        </w:tc>
        <w:tc>
          <w:tcPr>
            <w:tcW w:w="473" w:type="dxa"/>
            <w:tcBorders>
              <w:bottom w:val="single" w:sz="4" w:space="0" w:color="000000"/>
            </w:tcBorders>
            <w:vAlign w:val="bottom"/>
          </w:tcPr>
          <w:p>
            <w:pPr>
              <w:pStyle w:val="Normal"/>
              <w:spacing w:lineRule="auto" w:line="276"/>
              <w:jc w:val="both"/>
              <w:rPr>
                <w:sz w:val="25"/>
                <w:szCs w:val="25"/>
              </w:rPr>
            </w:pPr>
            <w:r>
              <w:rPr>
                <w:sz w:val="25"/>
                <w:szCs w:val="25"/>
              </w:rPr>
            </w:r>
          </w:p>
        </w:tc>
        <w:tc>
          <w:tcPr>
            <w:tcW w:w="334" w:type="dxa"/>
            <w:gridSpan w:val="2"/>
            <w:tcBorders/>
            <w:vAlign w:val="bottom"/>
          </w:tcPr>
          <w:p>
            <w:pPr>
              <w:pStyle w:val="Normal"/>
              <w:spacing w:lineRule="auto" w:line="276"/>
              <w:rPr>
                <w:sz w:val="25"/>
                <w:szCs w:val="25"/>
              </w:rPr>
            </w:pPr>
            <w:r>
              <w:rPr>
                <w:sz w:val="25"/>
                <w:szCs w:val="25"/>
              </w:rPr>
              <w:t>»</w:t>
            </w:r>
          </w:p>
        </w:tc>
        <w:tc>
          <w:tcPr>
            <w:tcW w:w="1765" w:type="dxa"/>
            <w:gridSpan w:val="4"/>
            <w:tcBorders>
              <w:bottom w:val="single" w:sz="4" w:space="0" w:color="000000"/>
            </w:tcBorders>
            <w:vAlign w:val="bottom"/>
          </w:tcPr>
          <w:p>
            <w:pPr>
              <w:pStyle w:val="Normal"/>
              <w:spacing w:lineRule="auto" w:line="276"/>
              <w:jc w:val="both"/>
              <w:rPr>
                <w:sz w:val="25"/>
                <w:szCs w:val="25"/>
              </w:rPr>
            </w:pPr>
            <w:r>
              <w:rPr>
                <w:sz w:val="25"/>
                <w:szCs w:val="25"/>
              </w:rPr>
            </w:r>
          </w:p>
        </w:tc>
        <w:tc>
          <w:tcPr>
            <w:tcW w:w="963" w:type="dxa"/>
            <w:gridSpan w:val="2"/>
            <w:tcBorders/>
            <w:vAlign w:val="bottom"/>
          </w:tcPr>
          <w:p>
            <w:pPr>
              <w:pStyle w:val="Normal"/>
              <w:spacing w:lineRule="auto" w:line="276"/>
              <w:jc w:val="both"/>
              <w:rPr>
                <w:sz w:val="25"/>
                <w:szCs w:val="25"/>
              </w:rPr>
            </w:pPr>
            <w:r>
              <w:rPr>
                <w:sz w:val="25"/>
                <w:szCs w:val="25"/>
              </w:rPr>
              <w:t>20__г.</w:t>
            </w:r>
          </w:p>
        </w:tc>
        <w:tc>
          <w:tcPr>
            <w:tcW w:w="4611" w:type="dxa"/>
            <w:gridSpan w:val="9"/>
            <w:tcBorders>
              <w:bottom w:val="single" w:sz="4" w:space="0" w:color="000000"/>
            </w:tcBorders>
            <w:vAlign w:val="bottom"/>
          </w:tcPr>
          <w:p>
            <w:pPr>
              <w:pStyle w:val="Normal"/>
              <w:spacing w:lineRule="auto" w:line="276"/>
              <w:jc w:val="both"/>
              <w:rPr>
                <w:sz w:val="25"/>
                <w:szCs w:val="25"/>
              </w:rPr>
            </w:pPr>
            <w:r>
              <w:rPr>
                <w:sz w:val="25"/>
                <w:szCs w:val="25"/>
              </w:rPr>
            </w:r>
          </w:p>
        </w:tc>
      </w:tr>
      <w:tr>
        <w:trPr>
          <w:trHeight w:val="147" w:hRule="atLeast"/>
          <w:cantSplit w:val="true"/>
        </w:trPr>
        <w:tc>
          <w:tcPr>
            <w:tcW w:w="4833" w:type="dxa"/>
            <w:gridSpan w:val="11"/>
            <w:tcBorders/>
          </w:tcPr>
          <w:p>
            <w:pPr>
              <w:pStyle w:val="Normal"/>
              <w:spacing w:lineRule="auto" w:line="276"/>
              <w:rPr>
                <w:sz w:val="25"/>
                <w:szCs w:val="25"/>
              </w:rPr>
            </w:pPr>
            <w:r>
              <w:rPr>
                <w:sz w:val="25"/>
                <w:szCs w:val="25"/>
              </w:rPr>
            </w:r>
          </w:p>
        </w:tc>
        <w:tc>
          <w:tcPr>
            <w:tcW w:w="4611" w:type="dxa"/>
            <w:gridSpan w:val="9"/>
            <w:tcBorders/>
          </w:tcPr>
          <w:p>
            <w:pPr>
              <w:pStyle w:val="Normal"/>
              <w:spacing w:lineRule="auto" w:line="276"/>
              <w:jc w:val="center"/>
              <w:rPr>
                <w:sz w:val="25"/>
                <w:szCs w:val="25"/>
                <w:vertAlign w:val="superscript"/>
              </w:rPr>
            </w:pPr>
            <w:r>
              <w:rPr>
                <w:sz w:val="25"/>
                <w:szCs w:val="25"/>
                <w:vertAlign w:val="superscript"/>
              </w:rPr>
              <w:t>(должность, подпись, фамилия и инициалы)</w:t>
            </w:r>
          </w:p>
        </w:tc>
      </w:tr>
      <w:tr>
        <w:trPr/>
        <w:tc>
          <w:tcPr>
            <w:tcW w:w="5802" w:type="dxa"/>
            <w:gridSpan w:val="14"/>
            <w:tcBorders/>
          </w:tcPr>
          <w:p>
            <w:pPr>
              <w:pStyle w:val="Normal"/>
              <w:spacing w:lineRule="auto" w:line="276"/>
              <w:rPr>
                <w:sz w:val="25"/>
                <w:szCs w:val="25"/>
              </w:rPr>
            </w:pPr>
            <w:r>
              <w:rPr>
                <w:sz w:val="25"/>
                <w:szCs w:val="25"/>
              </w:rPr>
              <w:t>8. Запирающее устройство на входной двери калитки</w:t>
            </w:r>
          </w:p>
        </w:tc>
        <w:tc>
          <w:tcPr>
            <w:tcW w:w="3642" w:type="dxa"/>
            <w:gridSpan w:val="6"/>
            <w:tcBorders>
              <w:bottom w:val="single" w:sz="4" w:space="0" w:color="000000"/>
            </w:tcBorders>
          </w:tcPr>
          <w:p>
            <w:pPr>
              <w:pStyle w:val="Normal"/>
              <w:spacing w:lineRule="auto" w:line="276"/>
              <w:jc w:val="both"/>
              <w:rPr>
                <w:sz w:val="25"/>
                <w:szCs w:val="25"/>
              </w:rPr>
            </w:pPr>
            <w:r>
              <w:rPr>
                <w:sz w:val="25"/>
                <w:szCs w:val="25"/>
              </w:rPr>
            </w:r>
          </w:p>
        </w:tc>
      </w:tr>
      <w:tr>
        <w:trPr>
          <w:cantSplit w:val="true"/>
        </w:trPr>
        <w:tc>
          <w:tcPr>
            <w:tcW w:w="2517" w:type="dxa"/>
            <w:gridSpan w:val="6"/>
            <w:tcBorders/>
          </w:tcPr>
          <w:p>
            <w:pPr>
              <w:pStyle w:val="Normal"/>
              <w:spacing w:lineRule="auto" w:line="276"/>
              <w:rPr>
                <w:sz w:val="25"/>
                <w:szCs w:val="25"/>
              </w:rPr>
            </w:pPr>
            <w:r>
              <w:rPr>
                <w:sz w:val="25"/>
                <w:szCs w:val="25"/>
              </w:rPr>
              <w:t>9. Пультовые данные</w:t>
            </w:r>
          </w:p>
        </w:tc>
        <w:tc>
          <w:tcPr>
            <w:tcW w:w="6927" w:type="dxa"/>
            <w:gridSpan w:val="14"/>
            <w:tcBorders>
              <w:bottom w:val="single" w:sz="4" w:space="0" w:color="000000"/>
            </w:tcBorders>
          </w:tcPr>
          <w:p>
            <w:pPr>
              <w:pStyle w:val="Normal"/>
              <w:spacing w:lineRule="auto" w:line="276"/>
              <w:jc w:val="center"/>
              <w:rPr>
                <w:b/>
                <w:b/>
                <w:sz w:val="25"/>
                <w:szCs w:val="25"/>
              </w:rPr>
            </w:pPr>
            <w:r>
              <w:rPr>
                <w:b/>
                <w:sz w:val="25"/>
                <w:szCs w:val="25"/>
              </w:rPr>
            </w:r>
          </w:p>
        </w:tc>
      </w:tr>
      <w:tr>
        <w:trPr>
          <w:cantSplit w:val="true"/>
        </w:trPr>
        <w:tc>
          <w:tcPr>
            <w:tcW w:w="2517" w:type="dxa"/>
            <w:gridSpan w:val="6"/>
            <w:tcBorders/>
          </w:tcPr>
          <w:p>
            <w:pPr>
              <w:pStyle w:val="Normal"/>
              <w:spacing w:lineRule="auto" w:line="276"/>
              <w:rPr>
                <w:sz w:val="25"/>
                <w:szCs w:val="25"/>
              </w:rPr>
            </w:pPr>
            <w:r>
              <w:rPr>
                <w:sz w:val="25"/>
                <w:szCs w:val="25"/>
              </w:rPr>
            </w:r>
          </w:p>
        </w:tc>
        <w:tc>
          <w:tcPr>
            <w:tcW w:w="6927" w:type="dxa"/>
            <w:gridSpan w:val="14"/>
            <w:tcBorders/>
          </w:tcPr>
          <w:p>
            <w:pPr>
              <w:pStyle w:val="Normal"/>
              <w:spacing w:lineRule="auto" w:line="276"/>
              <w:jc w:val="center"/>
              <w:rPr>
                <w:sz w:val="25"/>
                <w:szCs w:val="25"/>
                <w:vertAlign w:val="superscript"/>
              </w:rPr>
            </w:pPr>
            <w:r>
              <w:rPr>
                <w:sz w:val="25"/>
                <w:szCs w:val="25"/>
                <w:vertAlign w:val="superscript"/>
              </w:rPr>
              <w:t>(№ пульта, тип, направление, номер ответчика)</w:t>
            </w:r>
          </w:p>
        </w:tc>
      </w:tr>
      <w:tr>
        <w:trPr>
          <w:trHeight w:val="375" w:hRule="atLeast"/>
          <w:cantSplit w:val="true"/>
        </w:trPr>
        <w:tc>
          <w:tcPr>
            <w:tcW w:w="6040" w:type="dxa"/>
            <w:gridSpan w:val="15"/>
            <w:tcBorders/>
            <w:vAlign w:val="bottom"/>
          </w:tcPr>
          <w:p>
            <w:pPr>
              <w:pStyle w:val="Normal"/>
              <w:jc w:val="both"/>
              <w:rPr>
                <w:sz w:val="25"/>
                <w:szCs w:val="25"/>
              </w:rPr>
            </w:pPr>
            <w:r>
              <w:rPr>
                <w:sz w:val="25"/>
                <w:szCs w:val="25"/>
              </w:rPr>
              <w:t xml:space="preserve">10. Телефоны: пункт централизованной охраны (ПЦО) </w:t>
            </w:r>
          </w:p>
        </w:tc>
        <w:tc>
          <w:tcPr>
            <w:tcW w:w="3404" w:type="dxa"/>
            <w:gridSpan w:val="5"/>
            <w:tcBorders>
              <w:bottom w:val="single" w:sz="4" w:space="0" w:color="000000"/>
            </w:tcBorders>
            <w:vAlign w:val="bottom"/>
          </w:tcPr>
          <w:p>
            <w:pPr>
              <w:pStyle w:val="Normal"/>
              <w:jc w:val="both"/>
              <w:rPr>
                <w:sz w:val="25"/>
                <w:szCs w:val="25"/>
              </w:rPr>
            </w:pPr>
            <w:r>
              <w:rPr/>
            </w:r>
          </w:p>
        </w:tc>
      </w:tr>
      <w:tr>
        <w:trPr>
          <w:trHeight w:val="300" w:hRule="atLeast"/>
          <w:cantSplit w:val="true"/>
        </w:trPr>
        <w:tc>
          <w:tcPr>
            <w:tcW w:w="1949" w:type="dxa"/>
            <w:gridSpan w:val="4"/>
            <w:tcBorders/>
            <w:vAlign w:val="bottom"/>
          </w:tcPr>
          <w:p>
            <w:pPr>
              <w:pStyle w:val="Normal"/>
              <w:rPr>
                <w:sz w:val="25"/>
                <w:szCs w:val="25"/>
              </w:rPr>
            </w:pPr>
            <w:r>
              <w:rPr>
                <w:sz w:val="25"/>
                <w:szCs w:val="25"/>
              </w:rPr>
              <w:t xml:space="preserve"> </w:t>
            </w:r>
            <w:r>
              <w:rPr>
                <w:sz w:val="25"/>
                <w:szCs w:val="25"/>
              </w:rPr>
              <w:t xml:space="preserve">дежурный ПЦО </w:t>
            </w:r>
          </w:p>
        </w:tc>
        <w:tc>
          <w:tcPr>
            <w:tcW w:w="1417" w:type="dxa"/>
            <w:gridSpan w:val="3"/>
            <w:tcBorders>
              <w:bottom w:val="single" w:sz="4" w:space="0" w:color="000000"/>
            </w:tcBorders>
            <w:vAlign w:val="bottom"/>
          </w:tcPr>
          <w:p>
            <w:pPr>
              <w:pStyle w:val="Normal"/>
              <w:rPr>
                <w:sz w:val="25"/>
                <w:szCs w:val="25"/>
              </w:rPr>
            </w:pPr>
            <w:r>
              <w:rPr/>
            </w:r>
          </w:p>
        </w:tc>
        <w:tc>
          <w:tcPr>
            <w:tcW w:w="3693" w:type="dxa"/>
            <w:gridSpan w:val="10"/>
            <w:tcBorders/>
            <w:vAlign w:val="bottom"/>
          </w:tcPr>
          <w:p>
            <w:pPr>
              <w:pStyle w:val="Normal"/>
              <w:jc w:val="both"/>
              <w:rPr>
                <w:sz w:val="25"/>
                <w:szCs w:val="25"/>
              </w:rPr>
            </w:pPr>
            <w:r>
              <w:rPr>
                <w:sz w:val="25"/>
                <w:szCs w:val="25"/>
              </w:rPr>
              <w:t>инженер по квартирам (МПХИГ)</w:t>
            </w:r>
            <w:r>
              <w:rPr>
                <w:b/>
                <w:sz w:val="25"/>
                <w:szCs w:val="25"/>
              </w:rPr>
              <w:t xml:space="preserve"> </w:t>
            </w:r>
          </w:p>
        </w:tc>
        <w:tc>
          <w:tcPr>
            <w:tcW w:w="2385" w:type="dxa"/>
            <w:gridSpan w:val="3"/>
            <w:tcBorders>
              <w:bottom w:val="single" w:sz="4" w:space="0" w:color="000000"/>
            </w:tcBorders>
            <w:vAlign w:val="bottom"/>
          </w:tcPr>
          <w:p>
            <w:pPr>
              <w:pStyle w:val="Normal"/>
              <w:rPr>
                <w:sz w:val="25"/>
                <w:szCs w:val="25"/>
              </w:rPr>
            </w:pPr>
            <w:r>
              <w:rPr/>
            </w:r>
          </w:p>
        </w:tc>
      </w:tr>
      <w:tr>
        <w:trPr>
          <w:trHeight w:val="300" w:hRule="atLeast"/>
          <w:cantSplit w:val="true"/>
        </w:trPr>
        <w:tc>
          <w:tcPr>
            <w:tcW w:w="3940" w:type="dxa"/>
            <w:gridSpan w:val="10"/>
            <w:tcBorders/>
          </w:tcPr>
          <w:p>
            <w:pPr>
              <w:pStyle w:val="Normal"/>
              <w:jc w:val="both"/>
              <w:rPr>
                <w:sz w:val="25"/>
                <w:szCs w:val="25"/>
              </w:rPr>
            </w:pPr>
            <w:r>
              <w:rPr>
                <w:sz w:val="25"/>
                <w:szCs w:val="25"/>
              </w:rPr>
              <w:t xml:space="preserve"> </w:t>
            </w:r>
            <w:r>
              <w:rPr>
                <w:sz w:val="25"/>
                <w:szCs w:val="25"/>
              </w:rPr>
              <w:t xml:space="preserve">бухгалтер по квартирам (МПХИГ) </w:t>
            </w:r>
          </w:p>
        </w:tc>
        <w:tc>
          <w:tcPr>
            <w:tcW w:w="1349" w:type="dxa"/>
            <w:gridSpan w:val="2"/>
            <w:tcBorders>
              <w:bottom w:val="single" w:sz="4" w:space="0" w:color="000000"/>
            </w:tcBorders>
          </w:tcPr>
          <w:p>
            <w:pPr>
              <w:pStyle w:val="Normal"/>
              <w:jc w:val="both"/>
              <w:rPr>
                <w:sz w:val="25"/>
                <w:szCs w:val="25"/>
              </w:rPr>
            </w:pPr>
            <w:r>
              <w:rPr/>
            </w:r>
          </w:p>
        </w:tc>
        <w:tc>
          <w:tcPr>
            <w:tcW w:w="4155" w:type="dxa"/>
            <w:gridSpan w:val="8"/>
            <w:tcBorders/>
          </w:tcPr>
          <w:p>
            <w:pPr>
              <w:pStyle w:val="Normal"/>
              <w:jc w:val="both"/>
              <w:rPr>
                <w:sz w:val="25"/>
                <w:szCs w:val="25"/>
              </w:rPr>
            </w:pPr>
            <w:r>
              <w:rPr>
                <w:sz w:val="25"/>
                <w:szCs w:val="25"/>
              </w:rPr>
              <w:t>.</w:t>
            </w:r>
          </w:p>
        </w:tc>
      </w:tr>
      <w:tr>
        <w:trPr>
          <w:cantSplit w:val="true"/>
        </w:trPr>
        <w:tc>
          <w:tcPr>
            <w:tcW w:w="9444" w:type="dxa"/>
            <w:gridSpan w:val="20"/>
            <w:tcBorders/>
          </w:tcPr>
          <w:p>
            <w:pPr>
              <w:pStyle w:val="Normal"/>
              <w:spacing w:lineRule="auto" w:line="276" w:before="100" w:after="0"/>
              <w:jc w:val="both"/>
              <w:rPr>
                <w:sz w:val="25"/>
                <w:szCs w:val="25"/>
              </w:rPr>
            </w:pPr>
            <w:r>
              <w:rPr>
                <w:sz w:val="25"/>
                <w:szCs w:val="25"/>
              </w:rPr>
              <w:t xml:space="preserve">11. «Заказчик» компенсирует «Исполнителю» расходы, связанные с ложными выездами нарядов полиции по вине «Заказчика» и (или) членов семьи (доверенных лиц) в размере </w:t>
            </w:r>
            <w:r>
              <w:rPr>
                <w:b w:val="false"/>
                <w:bCs w:val="false"/>
                <w:sz w:val="25"/>
                <w:szCs w:val="25"/>
                <w:u w:val="none"/>
              </w:rPr>
              <w:t>______________________</w:t>
            </w:r>
            <w:r>
              <w:rPr>
                <w:b w:val="false"/>
                <w:bCs w:val="false"/>
                <w:sz w:val="25"/>
                <w:szCs w:val="25"/>
                <w:u w:val="none"/>
              </w:rPr>
              <w:t>(______________)</w:t>
            </w:r>
            <w:r>
              <w:rPr>
                <w:sz w:val="25"/>
                <w:szCs w:val="25"/>
              </w:rPr>
              <w:t xml:space="preserve"> за действие (бездействие) «Заказчика» и (или) членов семьи (доверенных лиц), повлекшие срабатывание ТСО, а также вскрытие и осмотр «Объекта».</w:t>
            </w:r>
          </w:p>
        </w:tc>
      </w:tr>
      <w:tr>
        <w:trPr>
          <w:cantSplit w:val="true"/>
        </w:trPr>
        <w:tc>
          <w:tcPr>
            <w:tcW w:w="9444" w:type="dxa"/>
            <w:gridSpan w:val="20"/>
            <w:tcBorders/>
          </w:tcPr>
          <w:p>
            <w:pPr>
              <w:pStyle w:val="Normal"/>
              <w:spacing w:lineRule="auto" w:line="276" w:before="100" w:after="0"/>
              <w:rPr>
                <w:sz w:val="25"/>
                <w:szCs w:val="25"/>
              </w:rPr>
            </w:pPr>
            <w:r>
              <w:rPr>
                <w:sz w:val="25"/>
                <w:szCs w:val="25"/>
              </w:rPr>
              <w:t>12. Вскрытие и осмотр объекта производится:</w:t>
            </w:r>
          </w:p>
        </w:tc>
      </w:tr>
      <w:tr>
        <w:trPr>
          <w:trHeight w:val="340" w:hRule="exact"/>
          <w:cantSplit w:val="true"/>
        </w:trPr>
        <w:tc>
          <w:tcPr>
            <w:tcW w:w="9444" w:type="dxa"/>
            <w:gridSpan w:val="20"/>
            <w:tcBorders>
              <w:bottom w:val="single" w:sz="4" w:space="0" w:color="000000"/>
            </w:tcBorders>
            <w:vAlign w:val="bottom"/>
          </w:tcPr>
          <w:p>
            <w:pPr>
              <w:pStyle w:val="Normal"/>
              <w:spacing w:lineRule="auto" w:line="276"/>
              <w:jc w:val="center"/>
              <w:rPr>
                <w:b/>
                <w:b/>
                <w:sz w:val="25"/>
                <w:szCs w:val="25"/>
              </w:rPr>
            </w:pPr>
            <w:r>
              <w:rPr>
                <w:b/>
                <w:sz w:val="25"/>
                <w:szCs w:val="25"/>
              </w:rPr>
            </w:r>
          </w:p>
        </w:tc>
      </w:tr>
      <w:tr>
        <w:trPr>
          <w:trHeight w:val="85" w:hRule="atLeast"/>
          <w:cantSplit w:val="true"/>
        </w:trPr>
        <w:tc>
          <w:tcPr>
            <w:tcW w:w="9444" w:type="dxa"/>
            <w:gridSpan w:val="20"/>
            <w:tcBorders>
              <w:top w:val="single" w:sz="4" w:space="0" w:color="000000"/>
            </w:tcBorders>
          </w:tcPr>
          <w:p>
            <w:pPr>
              <w:pStyle w:val="Normal"/>
              <w:spacing w:lineRule="auto" w:line="276" w:before="200" w:after="0"/>
              <w:rPr>
                <w:b/>
                <w:b/>
                <w:sz w:val="25"/>
                <w:szCs w:val="25"/>
              </w:rPr>
            </w:pPr>
            <w:r>
              <w:rPr>
                <w:sz w:val="25"/>
                <w:szCs w:val="25"/>
              </w:rPr>
              <w:t>13. При наличии на охраняемом «Объекте» собаки, вскрытие и осмотр</w:t>
            </w:r>
          </w:p>
        </w:tc>
      </w:tr>
      <w:tr>
        <w:trPr>
          <w:cantSplit w:val="true"/>
        </w:trPr>
        <w:tc>
          <w:tcPr>
            <w:tcW w:w="9444" w:type="dxa"/>
            <w:gridSpan w:val="20"/>
            <w:tcBorders>
              <w:bottom w:val="single" w:sz="4" w:space="0" w:color="000000"/>
            </w:tcBorders>
          </w:tcPr>
          <w:p>
            <w:pPr>
              <w:pStyle w:val="Normal"/>
              <w:spacing w:lineRule="auto" w:line="276"/>
              <w:jc w:val="both"/>
              <w:rPr>
                <w:b/>
                <w:b/>
                <w:sz w:val="25"/>
                <w:szCs w:val="25"/>
              </w:rPr>
            </w:pPr>
            <w:r>
              <w:rPr>
                <w:b/>
                <w:sz w:val="25"/>
                <w:szCs w:val="25"/>
              </w:rPr>
              <w:t>не производится, клиент, члены его семьи или доверенные лица оповещаются по</w:t>
            </w:r>
          </w:p>
        </w:tc>
      </w:tr>
      <w:tr>
        <w:trPr>
          <w:cantSplit w:val="true"/>
        </w:trPr>
        <w:tc>
          <w:tcPr>
            <w:tcW w:w="9444" w:type="dxa"/>
            <w:gridSpan w:val="20"/>
            <w:tcBorders>
              <w:bottom w:val="single" w:sz="4" w:space="0" w:color="000000"/>
            </w:tcBorders>
          </w:tcPr>
          <w:p>
            <w:pPr>
              <w:pStyle w:val="Normal"/>
              <w:spacing w:lineRule="auto" w:line="276"/>
              <w:jc w:val="both"/>
              <w:rPr>
                <w:b/>
                <w:b/>
                <w:sz w:val="25"/>
                <w:szCs w:val="25"/>
              </w:rPr>
            </w:pPr>
            <w:r>
              <w:rPr>
                <w:b/>
                <w:sz w:val="25"/>
                <w:szCs w:val="25"/>
              </w:rPr>
              <w:t>указанным в настоящем приложении телефонам.</w:t>
            </w:r>
          </w:p>
        </w:tc>
      </w:tr>
      <w:tr>
        <w:trPr>
          <w:cantSplit w:val="true"/>
        </w:trPr>
        <w:tc>
          <w:tcPr>
            <w:tcW w:w="9444" w:type="dxa"/>
            <w:gridSpan w:val="20"/>
            <w:tcBorders>
              <w:top w:val="single" w:sz="4" w:space="0" w:color="000000"/>
            </w:tcBorders>
          </w:tcPr>
          <w:p>
            <w:pPr>
              <w:pStyle w:val="Normal"/>
              <w:spacing w:lineRule="auto" w:line="276"/>
              <w:jc w:val="center"/>
              <w:rPr>
                <w:sz w:val="25"/>
                <w:szCs w:val="25"/>
                <w:vertAlign w:val="superscript"/>
              </w:rPr>
            </w:pPr>
            <w:r>
              <w:rPr>
                <w:sz w:val="25"/>
                <w:szCs w:val="25"/>
                <w:vertAlign w:val="superscript"/>
              </w:rPr>
              <w:t>(указать)</w:t>
            </w:r>
          </w:p>
        </w:tc>
      </w:tr>
      <w:tr>
        <w:trPr>
          <w:cantSplit w:val="true"/>
        </w:trPr>
        <w:tc>
          <w:tcPr>
            <w:tcW w:w="9444" w:type="dxa"/>
            <w:gridSpan w:val="20"/>
            <w:tcBorders>
              <w:bottom w:val="single" w:sz="4" w:space="0" w:color="000000"/>
            </w:tcBorders>
          </w:tcPr>
          <w:p>
            <w:pPr>
              <w:pStyle w:val="Normal"/>
              <w:spacing w:lineRule="auto" w:line="276"/>
              <w:jc w:val="both"/>
              <w:rPr>
                <w:b/>
                <w:b/>
                <w:sz w:val="25"/>
                <w:szCs w:val="25"/>
              </w:rPr>
            </w:pPr>
            <w:r>
              <w:rPr>
                <w:sz w:val="25"/>
                <w:szCs w:val="25"/>
              </w:rPr>
              <w:t>14. </w:t>
            </w:r>
            <w:r>
              <w:rPr>
                <w:b/>
                <w:sz w:val="25"/>
                <w:szCs w:val="25"/>
              </w:rPr>
              <w:t>Заблокировать входную дверь на пролом, установить вторую входную дверь,</w:t>
            </w:r>
          </w:p>
        </w:tc>
      </w:tr>
      <w:tr>
        <w:trPr>
          <w:cantSplit w:val="true"/>
        </w:trPr>
        <w:tc>
          <w:tcPr>
            <w:tcW w:w="9444" w:type="dxa"/>
            <w:gridSpan w:val="20"/>
            <w:tcBorders>
              <w:top w:val="single" w:sz="4" w:space="0" w:color="000000"/>
              <w:bottom w:val="single" w:sz="4" w:space="0" w:color="000000"/>
            </w:tcBorders>
          </w:tcPr>
          <w:p>
            <w:pPr>
              <w:pStyle w:val="Normal"/>
              <w:spacing w:lineRule="auto" w:line="276"/>
              <w:jc w:val="both"/>
              <w:rPr>
                <w:b/>
                <w:b/>
                <w:sz w:val="25"/>
                <w:szCs w:val="25"/>
              </w:rPr>
            </w:pPr>
            <w:r>
              <w:rPr>
                <w:b/>
                <w:sz w:val="25"/>
                <w:szCs w:val="25"/>
              </w:rPr>
              <w:t>оборудовать ее двумя замками разной секретности.</w:t>
            </w:r>
          </w:p>
        </w:tc>
      </w:tr>
      <w:tr>
        <w:trPr>
          <w:trHeight w:val="340" w:hRule="exact"/>
          <w:cantSplit w:val="true"/>
        </w:trPr>
        <w:tc>
          <w:tcPr>
            <w:tcW w:w="9444" w:type="dxa"/>
            <w:gridSpan w:val="20"/>
            <w:tcBorders>
              <w:top w:val="single" w:sz="4" w:space="0" w:color="000000"/>
              <w:bottom w:val="single" w:sz="4" w:space="0" w:color="000000"/>
            </w:tcBorders>
            <w:vAlign w:val="bottom"/>
          </w:tcPr>
          <w:p>
            <w:pPr>
              <w:pStyle w:val="Normal"/>
              <w:spacing w:lineRule="auto" w:line="276"/>
              <w:jc w:val="both"/>
              <w:rPr>
                <w:b/>
                <w:b/>
                <w:sz w:val="25"/>
                <w:szCs w:val="25"/>
              </w:rPr>
            </w:pPr>
            <w:r>
              <w:rPr>
                <w:b/>
                <w:sz w:val="25"/>
                <w:szCs w:val="25"/>
              </w:rPr>
            </w:r>
          </w:p>
        </w:tc>
      </w:tr>
      <w:tr>
        <w:trPr>
          <w:trHeight w:val="340" w:hRule="exact"/>
          <w:cantSplit w:val="true"/>
        </w:trPr>
        <w:tc>
          <w:tcPr>
            <w:tcW w:w="9444" w:type="dxa"/>
            <w:gridSpan w:val="20"/>
            <w:tcBorders>
              <w:top w:val="single" w:sz="4" w:space="0" w:color="000000"/>
              <w:bottom w:val="single" w:sz="4" w:space="0" w:color="000000"/>
            </w:tcBorders>
            <w:vAlign w:val="bottom"/>
          </w:tcPr>
          <w:p>
            <w:pPr>
              <w:pStyle w:val="Normal"/>
              <w:spacing w:lineRule="auto" w:line="276"/>
              <w:jc w:val="both"/>
              <w:rPr>
                <w:sz w:val="25"/>
                <w:szCs w:val="25"/>
              </w:rPr>
            </w:pPr>
            <w:r>
              <w:rPr>
                <w:sz w:val="25"/>
                <w:szCs w:val="25"/>
              </w:rPr>
            </w:r>
          </w:p>
        </w:tc>
      </w:tr>
      <w:tr>
        <w:trPr>
          <w:trHeight w:val="340" w:hRule="exact"/>
          <w:cantSplit w:val="true"/>
        </w:trPr>
        <w:tc>
          <w:tcPr>
            <w:tcW w:w="9444" w:type="dxa"/>
            <w:gridSpan w:val="20"/>
            <w:tcBorders>
              <w:top w:val="single" w:sz="4" w:space="0" w:color="000000"/>
              <w:bottom w:val="single" w:sz="4" w:space="0" w:color="000000"/>
            </w:tcBorders>
            <w:vAlign w:val="bottom"/>
          </w:tcPr>
          <w:p>
            <w:pPr>
              <w:pStyle w:val="Normal"/>
              <w:spacing w:lineRule="auto" w:line="276"/>
              <w:jc w:val="both"/>
              <w:rPr>
                <w:b/>
                <w:b/>
                <w:sz w:val="25"/>
                <w:szCs w:val="25"/>
              </w:rPr>
            </w:pPr>
            <w:r>
              <w:rPr>
                <w:b/>
                <w:sz w:val="25"/>
                <w:szCs w:val="25"/>
              </w:rPr>
            </w:r>
          </w:p>
        </w:tc>
      </w:tr>
      <w:tr>
        <w:trPr>
          <w:trHeight w:val="340" w:hRule="atLeast"/>
          <w:cantSplit w:val="true"/>
        </w:trPr>
        <w:tc>
          <w:tcPr>
            <w:tcW w:w="9444" w:type="dxa"/>
            <w:gridSpan w:val="20"/>
            <w:tcBorders>
              <w:top w:val="single" w:sz="4" w:space="0" w:color="000000"/>
            </w:tcBorders>
            <w:vAlign w:val="bottom"/>
          </w:tcPr>
          <w:p>
            <w:pPr>
              <w:pStyle w:val="Normal"/>
              <w:spacing w:lineRule="auto" w:line="276"/>
              <w:jc w:val="center"/>
              <w:rPr>
                <w:sz w:val="25"/>
                <w:szCs w:val="25"/>
              </w:rPr>
            </w:pPr>
            <w:r>
              <w:rPr>
                <w:sz w:val="25"/>
                <w:szCs w:val="25"/>
                <w:vertAlign w:val="superscript"/>
              </w:rPr>
              <w:t>(необходимые дополнительные данные для каждого конкретного случая)</w:t>
            </w:r>
          </w:p>
        </w:tc>
      </w:tr>
    </w:tbl>
    <w:p>
      <w:pPr>
        <w:pStyle w:val="Normal"/>
        <w:widowControl/>
        <w:overflowPunct w:val="false"/>
        <w:ind w:right="51" w:hanging="0"/>
        <w:jc w:val="both"/>
        <w:rPr>
          <w:sz w:val="25"/>
          <w:szCs w:val="25"/>
        </w:rPr>
      </w:pPr>
      <w:r>
        <w:rPr>
          <w:sz w:val="25"/>
          <w:szCs w:val="25"/>
        </w:rPr>
      </w:r>
    </w:p>
    <w:p>
      <w:pPr>
        <w:pStyle w:val="Normal"/>
        <w:widowControl/>
        <w:overflowPunct w:val="false"/>
        <w:ind w:right="51" w:hanging="0"/>
        <w:jc w:val="both"/>
        <w:rPr>
          <w:sz w:val="25"/>
          <w:szCs w:val="25"/>
        </w:rPr>
      </w:pPr>
      <w:r>
        <w:rPr>
          <w:sz w:val="25"/>
          <w:szCs w:val="25"/>
        </w:rPr>
      </w:r>
    </w:p>
    <w:tbl>
      <w:tblPr>
        <w:tblStyle w:val="aa"/>
        <w:tblW w:w="4900" w:type="pct"/>
        <w:jc w:val="left"/>
        <w:tblInd w:w="0" w:type="dxa"/>
        <w:tblCellMar>
          <w:top w:w="0" w:type="dxa"/>
          <w:left w:w="108" w:type="dxa"/>
          <w:bottom w:w="0" w:type="dxa"/>
          <w:right w:w="108" w:type="dxa"/>
        </w:tblCellMar>
        <w:tblLook w:val="04a0"/>
      </w:tblPr>
      <w:tblGrid>
        <w:gridCol w:w="1715"/>
        <w:gridCol w:w="2923"/>
        <w:gridCol w:w="417"/>
        <w:gridCol w:w="2331"/>
        <w:gridCol w:w="2059"/>
      </w:tblGrid>
      <w:tr>
        <w:trPr>
          <w:trHeight w:val="538" w:hRule="atLeast"/>
        </w:trPr>
        <w:tc>
          <w:tcPr>
            <w:tcW w:w="4638" w:type="dxa"/>
            <w:gridSpan w:val="2"/>
            <w:tcBorders>
              <w:top w:val="nil"/>
              <w:left w:val="nil"/>
              <w:bottom w:val="nil"/>
              <w:right w:val="nil"/>
            </w:tcBorders>
          </w:tcPr>
          <w:p>
            <w:pPr>
              <w:pStyle w:val="Normal"/>
              <w:jc w:val="center"/>
              <w:rPr>
                <w:b/>
                <w:b/>
                <w:sz w:val="25"/>
                <w:szCs w:val="25"/>
              </w:rPr>
            </w:pPr>
            <w:r>
              <w:rPr>
                <w:b/>
                <w:sz w:val="25"/>
                <w:szCs w:val="25"/>
              </w:rPr>
              <w:t>«Заказчик»</w:t>
            </w:r>
          </w:p>
        </w:tc>
        <w:tc>
          <w:tcPr>
            <w:tcW w:w="417" w:type="dxa"/>
            <w:vMerge w:val="restart"/>
            <w:tcBorders>
              <w:top w:val="nil"/>
              <w:left w:val="nil"/>
              <w:bottom w:val="nil"/>
              <w:right w:val="nil"/>
            </w:tcBorders>
          </w:tcPr>
          <w:p>
            <w:pPr>
              <w:pStyle w:val="Normal"/>
              <w:jc w:val="center"/>
              <w:rPr>
                <w:b/>
                <w:b/>
                <w:sz w:val="25"/>
                <w:szCs w:val="25"/>
              </w:rPr>
            </w:pPr>
            <w:r>
              <w:rPr>
                <w:b/>
                <w:sz w:val="25"/>
                <w:szCs w:val="25"/>
              </w:rPr>
            </w:r>
          </w:p>
        </w:tc>
        <w:tc>
          <w:tcPr>
            <w:tcW w:w="4390" w:type="dxa"/>
            <w:gridSpan w:val="2"/>
            <w:tcBorders>
              <w:top w:val="nil"/>
              <w:left w:val="nil"/>
              <w:bottom w:val="nil"/>
              <w:right w:val="nil"/>
            </w:tcBorders>
          </w:tcPr>
          <w:p>
            <w:pPr>
              <w:pStyle w:val="Normal"/>
              <w:jc w:val="center"/>
              <w:rPr>
                <w:b/>
                <w:b/>
                <w:sz w:val="25"/>
                <w:szCs w:val="25"/>
              </w:rPr>
            </w:pPr>
            <w:r>
              <w:rPr>
                <w:b/>
                <w:sz w:val="25"/>
                <w:szCs w:val="25"/>
              </w:rPr>
              <w:t>«Исполнитель»</w:t>
            </w:r>
          </w:p>
        </w:tc>
      </w:tr>
      <w:tr>
        <w:trPr/>
        <w:tc>
          <w:tcPr>
            <w:tcW w:w="4638" w:type="dxa"/>
            <w:gridSpan w:val="2"/>
            <w:tcBorders>
              <w:top w:val="nil"/>
              <w:left w:val="nil"/>
              <w:bottom w:val="nil"/>
              <w:right w:val="nil"/>
            </w:tcBorders>
          </w:tcPr>
          <w:p>
            <w:pPr>
              <w:pStyle w:val="12"/>
              <w:jc w:val="center"/>
              <w:rPr>
                <w:b/>
                <w:b/>
                <w:color w:val="auto"/>
                <w:sz w:val="25"/>
                <w:szCs w:val="25"/>
              </w:rPr>
            </w:pPr>
            <w:r>
              <w:rPr>
                <w:b/>
                <w:color w:val="auto"/>
                <w:sz w:val="25"/>
                <w:szCs w:val="25"/>
              </w:rPr>
            </w:r>
          </w:p>
        </w:tc>
        <w:tc>
          <w:tcPr>
            <w:tcW w:w="417" w:type="dxa"/>
            <w:vMerge w:val="continue"/>
            <w:tcBorders>
              <w:top w:val="nil"/>
              <w:left w:val="nil"/>
              <w:bottom w:val="nil"/>
              <w:right w:val="nil"/>
            </w:tcBorders>
          </w:tcPr>
          <w:p>
            <w:pPr>
              <w:pStyle w:val="Normal"/>
              <w:rPr>
                <w:bCs/>
                <w:iCs/>
                <w:sz w:val="25"/>
                <w:szCs w:val="25"/>
              </w:rPr>
            </w:pPr>
            <w:r>
              <w:rPr>
                <w:bCs/>
                <w:iCs/>
                <w:sz w:val="25"/>
                <w:szCs w:val="25"/>
              </w:rPr>
            </w:r>
          </w:p>
        </w:tc>
        <w:tc>
          <w:tcPr>
            <w:tcW w:w="4390" w:type="dxa"/>
            <w:gridSpan w:val="2"/>
            <w:tcBorders>
              <w:top w:val="nil"/>
              <w:left w:val="nil"/>
              <w:bottom w:val="nil"/>
              <w:right w:val="nil"/>
            </w:tcBorders>
          </w:tcPr>
          <w:p>
            <w:pPr>
              <w:pStyle w:val="Normal"/>
              <w:jc w:val="both"/>
              <w:rPr>
                <w:bCs/>
                <w:iCs/>
                <w:sz w:val="25"/>
                <w:szCs w:val="25"/>
              </w:rPr>
            </w:pPr>
            <w:r>
              <w:rPr>
                <w:bCs/>
                <w:iCs/>
                <w:sz w:val="25"/>
                <w:szCs w:val="25"/>
              </w:rPr>
              <w:t>Начальник УВО по городу Екатеринбургу – филиала ФГКУ «УВО ВНГ России по Свердловской области»</w:t>
            </w:r>
          </w:p>
          <w:p>
            <w:pPr>
              <w:pStyle w:val="Normal"/>
              <w:rPr>
                <w:b/>
                <w:b/>
                <w:sz w:val="25"/>
                <w:szCs w:val="25"/>
              </w:rPr>
            </w:pPr>
            <w:r>
              <w:rPr>
                <w:b/>
                <w:sz w:val="25"/>
                <w:szCs w:val="25"/>
              </w:rPr>
            </w:r>
          </w:p>
        </w:tc>
      </w:tr>
      <w:tr>
        <w:trPr/>
        <w:tc>
          <w:tcPr>
            <w:tcW w:w="1715" w:type="dxa"/>
            <w:tcBorders>
              <w:top w:val="nil"/>
              <w:left w:val="nil"/>
              <w:right w:val="nil"/>
            </w:tcBorders>
          </w:tcPr>
          <w:p>
            <w:pPr>
              <w:pStyle w:val="12"/>
              <w:jc w:val="center"/>
              <w:rPr>
                <w:color w:val="auto"/>
                <w:sz w:val="25"/>
                <w:szCs w:val="25"/>
              </w:rPr>
            </w:pPr>
            <w:r>
              <w:rPr>
                <w:color w:val="auto"/>
                <w:sz w:val="25"/>
                <w:szCs w:val="25"/>
              </w:rPr>
            </w:r>
          </w:p>
        </w:tc>
        <w:tc>
          <w:tcPr>
            <w:tcW w:w="2923" w:type="dxa"/>
            <w:tcBorders>
              <w:top w:val="nil"/>
              <w:left w:val="nil"/>
              <w:right w:val="nil"/>
            </w:tcBorders>
          </w:tcPr>
          <w:p>
            <w:pPr>
              <w:pStyle w:val="12"/>
              <w:rPr>
                <w:color w:val="auto"/>
                <w:sz w:val="25"/>
                <w:szCs w:val="25"/>
              </w:rPr>
            </w:pPr>
            <w:r>
              <w:rPr>
                <w:color w:val="auto"/>
                <w:sz w:val="25"/>
                <w:szCs w:val="25"/>
              </w:rPr>
              <w:t>/                                          /</w:t>
            </w:r>
          </w:p>
        </w:tc>
        <w:tc>
          <w:tcPr>
            <w:tcW w:w="417" w:type="dxa"/>
            <w:vMerge w:val="continue"/>
            <w:tcBorders>
              <w:top w:val="nil"/>
              <w:left w:val="nil"/>
              <w:bottom w:val="nil"/>
              <w:right w:val="nil"/>
            </w:tcBorders>
          </w:tcPr>
          <w:p>
            <w:pPr>
              <w:pStyle w:val="12"/>
              <w:jc w:val="center"/>
              <w:rPr>
                <w:b/>
                <w:b/>
                <w:color w:val="auto"/>
                <w:sz w:val="25"/>
                <w:szCs w:val="25"/>
              </w:rPr>
            </w:pPr>
            <w:r>
              <w:rPr>
                <w:b/>
                <w:color w:val="auto"/>
                <w:sz w:val="25"/>
                <w:szCs w:val="25"/>
              </w:rPr>
            </w:r>
          </w:p>
        </w:tc>
        <w:tc>
          <w:tcPr>
            <w:tcW w:w="2331" w:type="dxa"/>
            <w:tcBorders>
              <w:top w:val="nil"/>
              <w:left w:val="nil"/>
              <w:right w:val="nil"/>
            </w:tcBorders>
          </w:tcPr>
          <w:p>
            <w:pPr>
              <w:pStyle w:val="12"/>
              <w:jc w:val="center"/>
              <w:rPr>
                <w:b/>
                <w:b/>
                <w:color w:val="auto"/>
                <w:sz w:val="25"/>
                <w:szCs w:val="25"/>
              </w:rPr>
            </w:pPr>
            <w:r>
              <w:rPr>
                <w:b/>
                <w:color w:val="auto"/>
                <w:sz w:val="25"/>
                <w:szCs w:val="25"/>
              </w:rPr>
            </w:r>
          </w:p>
        </w:tc>
        <w:tc>
          <w:tcPr>
            <w:tcW w:w="2059" w:type="dxa"/>
            <w:tcBorders>
              <w:top w:val="nil"/>
              <w:left w:val="nil"/>
              <w:right w:val="nil"/>
            </w:tcBorders>
          </w:tcPr>
          <w:p>
            <w:pPr>
              <w:pStyle w:val="12"/>
              <w:jc w:val="right"/>
              <w:rPr>
                <w:b/>
                <w:b/>
                <w:color w:val="auto"/>
                <w:sz w:val="25"/>
                <w:szCs w:val="25"/>
              </w:rPr>
            </w:pPr>
            <w:r>
              <w:rPr>
                <w:sz w:val="25"/>
                <w:szCs w:val="25"/>
              </w:rPr>
              <w:t>/А.В. Горбунов/</w:t>
            </w:r>
          </w:p>
        </w:tc>
      </w:tr>
      <w:tr>
        <w:trPr/>
        <w:tc>
          <w:tcPr>
            <w:tcW w:w="1715" w:type="dxa"/>
            <w:tcBorders>
              <w:left w:val="nil"/>
              <w:bottom w:val="nil"/>
              <w:right w:val="nil"/>
            </w:tcBorders>
          </w:tcPr>
          <w:p>
            <w:pPr>
              <w:pStyle w:val="Normal"/>
              <w:jc w:val="center"/>
              <w:rPr>
                <w:b/>
                <w:b/>
                <w:sz w:val="25"/>
                <w:szCs w:val="25"/>
              </w:rPr>
            </w:pPr>
            <w:r>
              <w:rPr>
                <w:sz w:val="16"/>
                <w:szCs w:val="16"/>
              </w:rPr>
              <w:t>(подпись)</w:t>
            </w:r>
          </w:p>
        </w:tc>
        <w:tc>
          <w:tcPr>
            <w:tcW w:w="2923" w:type="dxa"/>
            <w:tcBorders>
              <w:top w:val="nil"/>
              <w:left w:val="nil"/>
              <w:bottom w:val="nil"/>
              <w:right w:val="nil"/>
            </w:tcBorders>
          </w:tcPr>
          <w:p>
            <w:pPr>
              <w:pStyle w:val="12"/>
              <w:jc w:val="center"/>
              <w:rPr>
                <w:sz w:val="25"/>
                <w:szCs w:val="25"/>
              </w:rPr>
            </w:pPr>
            <w:r>
              <w:rPr>
                <w:sz w:val="16"/>
                <w:szCs w:val="16"/>
              </w:rPr>
              <w:t>(фамилия)</w:t>
            </w:r>
          </w:p>
        </w:tc>
        <w:tc>
          <w:tcPr>
            <w:tcW w:w="417" w:type="dxa"/>
            <w:vMerge w:val="continue"/>
            <w:tcBorders>
              <w:left w:val="nil"/>
              <w:bottom w:val="nil"/>
              <w:right w:val="nil"/>
            </w:tcBorders>
          </w:tcPr>
          <w:p>
            <w:pPr>
              <w:pStyle w:val="Normal"/>
              <w:jc w:val="center"/>
              <w:rPr>
                <w:sz w:val="16"/>
                <w:szCs w:val="16"/>
              </w:rPr>
            </w:pPr>
            <w:r>
              <w:rPr>
                <w:sz w:val="16"/>
                <w:szCs w:val="16"/>
              </w:rPr>
            </w:r>
          </w:p>
        </w:tc>
        <w:tc>
          <w:tcPr>
            <w:tcW w:w="2331" w:type="dxa"/>
            <w:tcBorders>
              <w:left w:val="nil"/>
              <w:bottom w:val="nil"/>
              <w:right w:val="nil"/>
            </w:tcBorders>
          </w:tcPr>
          <w:p>
            <w:pPr>
              <w:pStyle w:val="Normal"/>
              <w:jc w:val="center"/>
              <w:rPr>
                <w:b/>
                <w:b/>
                <w:sz w:val="25"/>
                <w:szCs w:val="25"/>
              </w:rPr>
            </w:pPr>
            <w:r>
              <w:rPr>
                <w:sz w:val="16"/>
                <w:szCs w:val="16"/>
              </w:rPr>
              <w:t>(подпись)</w:t>
            </w:r>
          </w:p>
        </w:tc>
        <w:tc>
          <w:tcPr>
            <w:tcW w:w="2059" w:type="dxa"/>
            <w:tcBorders>
              <w:top w:val="nil"/>
              <w:left w:val="nil"/>
              <w:bottom w:val="nil"/>
              <w:right w:val="nil"/>
            </w:tcBorders>
          </w:tcPr>
          <w:p>
            <w:pPr>
              <w:pStyle w:val="12"/>
              <w:jc w:val="center"/>
              <w:rPr>
                <w:sz w:val="25"/>
                <w:szCs w:val="25"/>
              </w:rPr>
            </w:pPr>
            <w:r>
              <w:rPr>
                <w:sz w:val="16"/>
                <w:szCs w:val="16"/>
              </w:rPr>
              <w:t>(фамилия)</w:t>
            </w:r>
          </w:p>
        </w:tc>
      </w:tr>
    </w:tbl>
    <w:p>
      <w:pPr>
        <w:pStyle w:val="Normal"/>
        <w:widowControl/>
        <w:tabs>
          <w:tab w:val="clear" w:pos="708"/>
          <w:tab w:val="left" w:pos="5330" w:leader="none"/>
        </w:tabs>
        <w:overflowPunct w:val="false"/>
        <w:spacing w:before="222" w:after="0"/>
        <w:ind w:right="51" w:hanging="0"/>
        <w:jc w:val="both"/>
        <w:rPr/>
      </w:pPr>
      <w:r>
        <w:rPr/>
      </w:r>
    </w:p>
    <w:sectPr>
      <w:headerReference w:type="default" r:id="rId2"/>
      <w:type w:val="nextPage"/>
      <w:pgSz w:w="11906" w:h="16838"/>
      <w:pgMar w:left="1134" w:right="1134" w:header="567" w:top="1134" w:footer="0" w:bottom="1134"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imes New Roman">
    <w:charset w:val="01"/>
    <w:family w:val="roman"/>
    <w:pitch w:val="default"/>
  </w:font>
  <w:font w:name="Arial">
    <w:charset w:val="01"/>
    <w:family w:val="roman"/>
    <w:pitch w:val="default"/>
  </w:font>
  <w:font w:name="PT Astra Serif">
    <w:charset w:val="01"/>
    <w:family w:val="roman"/>
    <w:pitch w:val="default"/>
  </w:font>
  <w:font w:name="Wingdings">
    <w:charset w:val="02"/>
    <w:family w:val="auto"/>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Top of Page)"/>
        <w:docPartUnique w:val="true"/>
      </w:docPartObj>
      <w:id w:val="2027537966"/>
    </w:sdtPr>
    <w:sdtContent>
      <w:p>
        <w:pPr>
          <w:pStyle w:val="Style24"/>
          <w:jc w:val="center"/>
          <w:rPr>
            <w:sz w:val="24"/>
            <w:szCs w:val="24"/>
          </w:rPr>
        </w:pPr>
        <w:r>
          <w:rPr>
            <w:sz w:val="24"/>
            <w:szCs w:val="24"/>
          </w:rPr>
          <w:fldChar w:fldCharType="begin"/>
        </w:r>
        <w:r>
          <w:rPr>
            <w:sz w:val="24"/>
            <w:szCs w:val="24"/>
          </w:rPr>
          <w:instrText> PAGE </w:instrText>
        </w:r>
        <w:r>
          <w:rPr>
            <w:sz w:val="24"/>
            <w:szCs w:val="24"/>
          </w:rPr>
          <w:fldChar w:fldCharType="separate"/>
        </w:r>
        <w:r>
          <w:rPr>
            <w:sz w:val="24"/>
            <w:szCs w:val="24"/>
          </w:rPr>
          <w:t>13</w:t>
        </w:r>
        <w:r>
          <w:rPr>
            <w:sz w:val="24"/>
            <w:szCs w:val="24"/>
          </w:rPr>
          <w:fldChar w:fldCharType="end"/>
        </w:r>
      </w:p>
    </w:sdtContent>
  </w:sdt>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bullet"/>
      <w:lvlText w:val=""/>
      <w:lvlJc w:val="left"/>
      <w:pPr>
        <w:tabs>
          <w:tab w:val="num" w:pos="720"/>
        </w:tabs>
        <w:ind w:left="720" w:hanging="360"/>
      </w:pPr>
      <w:rPr>
        <w:rFonts w:ascii="Wingdings" w:hAnsi="Wingdings" w:cs="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lvl w:ilvl="0">
      <w:start w:val="1"/>
      <w:numFmt w:val="bullet"/>
      <w:lvlText w:val=""/>
      <w:lvlJc w:val="left"/>
      <w:pPr>
        <w:tabs>
          <w:tab w:val="num" w:pos="720"/>
        </w:tabs>
        <w:ind w:left="720" w:hanging="360"/>
      </w:pPr>
      <w:rPr>
        <w:rFonts w:ascii="Wingdings" w:hAnsi="Wingdings" w:cs="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lvl w:ilvl="0">
      <w:start w:val="1"/>
      <w:numFmt w:val="bullet"/>
      <w:lvlText w:val=""/>
      <w:lvlJc w:val="left"/>
      <w:pPr>
        <w:tabs>
          <w:tab w:val="num" w:pos="720"/>
        </w:tabs>
        <w:ind w:left="720" w:hanging="360"/>
      </w:pPr>
      <w:rPr>
        <w:rFonts w:ascii="Wingdings" w:hAnsi="Wingdings" w:cs="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
  </w:num>
  <w:num w:numId="2">
    <w:abstractNumId w:val="2"/>
  </w:num>
  <w:num w:numId="3">
    <w:abstractNumId w:val="3"/>
  </w:num>
  <w:num w:numId="4">
    <w:abstractNumId w:val="4"/>
  </w:num>
  <w:num w:numId="5">
    <w:abstractNumId w:val="3"/>
    <w:lvlOverride w:ilvl="0">
      <w:startOverride w:val="1"/>
    </w:lvlOverride>
  </w:num>
  <w:num w:numId="6">
    <w:abstractNumId w:val="4"/>
    <w:lvlOverride w:ilvl="0">
      <w:startOverride w:val="1"/>
    </w:lvlOverride>
  </w:num>
  <w:num w:numId="7">
    <w:abstractNumId w:val="4"/>
  </w:num>
  <w:num w:numId="8">
    <w:abstractNumId w:val="4"/>
  </w:num>
  <w:num w:numId="9">
    <w:abstractNumId w:val="4"/>
  </w:num>
  <w:num w:numId="10">
    <w:abstractNumId w:val="4"/>
  </w:num>
  <w:num w:numId="11">
    <w:abstractNumId w:val="4"/>
  </w:num>
  <w:num w:numId="12">
    <w:abstractNumId w:val="4"/>
  </w:num>
</w:numbering>
</file>

<file path=word/settings.xml><?xml version="1.0" encoding="utf-8"?>
<w:settings xmlns:w="http://schemas.openxmlformats.org/wordprocessingml/2006/main">
  <w:zoom w:percent="100"/>
  <w:defaultTabStop w:val="708"/>
  <w:autoHyphenation w:val="true"/>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0"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uiPriority="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c76afe"/>
    <w:pPr>
      <w:widowControl w:val="false"/>
      <w:suppressAutoHyphens w:val="true"/>
      <w:bidi w:val="0"/>
      <w:spacing w:lineRule="auto" w:line="240" w:before="0" w:after="0"/>
      <w:jc w:val="left"/>
    </w:pPr>
    <w:rPr>
      <w:rFonts w:ascii="Times New Roman" w:hAnsi="Times New Roman" w:eastAsia="Times New Roman" w:cs="Times New Roman"/>
      <w:color w:val="auto"/>
      <w:kern w:val="0"/>
      <w:sz w:val="20"/>
      <w:szCs w:val="20"/>
      <w:lang w:val="ru-RU" w:eastAsia="zh-CN" w:bidi="ar-SA"/>
    </w:rPr>
  </w:style>
  <w:style w:type="paragraph" w:styleId="1">
    <w:name w:val="Heading 1"/>
    <w:basedOn w:val="Normal"/>
    <w:next w:val="Normal"/>
    <w:link w:val="10"/>
    <w:qFormat/>
    <w:rsid w:val="00c76afe"/>
    <w:pPr>
      <w:keepNext w:val="true"/>
      <w:numPr>
        <w:ilvl w:val="0"/>
        <w:numId w:val="1"/>
      </w:numPr>
      <w:spacing w:before="240" w:after="60"/>
      <w:outlineLvl w:val="0"/>
    </w:pPr>
    <w:rPr>
      <w:rFonts w:ascii="Arial" w:hAnsi="Arial" w:cs="Arial"/>
      <w:b/>
      <w:bCs/>
      <w:kern w:val="2"/>
      <w:sz w:val="32"/>
      <w:szCs w:val="32"/>
    </w:rPr>
  </w:style>
  <w:style w:type="character" w:styleId="DefaultParagraphFont" w:default="1">
    <w:name w:val="Default Paragraph Font"/>
    <w:uiPriority w:val="1"/>
    <w:semiHidden/>
    <w:unhideWhenUsed/>
    <w:qFormat/>
    <w:rPr/>
  </w:style>
  <w:style w:type="character" w:styleId="11" w:customStyle="1">
    <w:name w:val="Заголовок 1 Знак"/>
    <w:basedOn w:val="DefaultParagraphFont"/>
    <w:link w:val="1"/>
    <w:qFormat/>
    <w:rsid w:val="00c76afe"/>
    <w:rPr>
      <w:rFonts w:ascii="Arial" w:hAnsi="Arial" w:eastAsia="Times New Roman" w:cs="Arial"/>
      <w:b/>
      <w:bCs/>
      <w:kern w:val="2"/>
      <w:sz w:val="32"/>
      <w:szCs w:val="32"/>
      <w:lang w:eastAsia="zh-CN"/>
    </w:rPr>
  </w:style>
  <w:style w:type="character" w:styleId="Style13" w:customStyle="1">
    <w:name w:val="Нижний колонтитул Знак"/>
    <w:basedOn w:val="DefaultParagraphFont"/>
    <w:link w:val="a3"/>
    <w:qFormat/>
    <w:rsid w:val="00c76afe"/>
    <w:rPr>
      <w:rFonts w:ascii="Times New Roman" w:hAnsi="Times New Roman" w:eastAsia="Times New Roman" w:cs="Times New Roman"/>
      <w:sz w:val="20"/>
      <w:szCs w:val="20"/>
      <w:lang w:eastAsia="zh-CN"/>
    </w:rPr>
  </w:style>
  <w:style w:type="character" w:styleId="Style14" w:customStyle="1">
    <w:name w:val="Название Знак"/>
    <w:basedOn w:val="DefaultParagraphFont"/>
    <w:link w:val="a5"/>
    <w:qFormat/>
    <w:rsid w:val="00c76afe"/>
    <w:rPr>
      <w:rFonts w:ascii="Times New Roman" w:hAnsi="Times New Roman" w:eastAsia="Times New Roman" w:cs="Times New Roman"/>
      <w:b/>
      <w:sz w:val="32"/>
      <w:szCs w:val="20"/>
      <w:lang w:eastAsia="ru-RU"/>
    </w:rPr>
  </w:style>
  <w:style w:type="character" w:styleId="Style15" w:customStyle="1">
    <w:name w:val="Верхний колонтитул Знак"/>
    <w:basedOn w:val="DefaultParagraphFont"/>
    <w:link w:val="a8"/>
    <w:uiPriority w:val="99"/>
    <w:qFormat/>
    <w:rsid w:val="00fb1715"/>
    <w:rPr>
      <w:rFonts w:ascii="Times New Roman" w:hAnsi="Times New Roman" w:eastAsia="Times New Roman" w:cs="Times New Roman"/>
      <w:sz w:val="20"/>
      <w:szCs w:val="20"/>
      <w:lang w:eastAsia="zh-CN"/>
    </w:rPr>
  </w:style>
  <w:style w:type="paragraph" w:styleId="Style16">
    <w:name w:val="Заголовок"/>
    <w:basedOn w:val="Normal"/>
    <w:next w:val="Style17"/>
    <w:qFormat/>
    <w:pPr>
      <w:keepNext w:val="true"/>
      <w:spacing w:before="240" w:after="120"/>
    </w:pPr>
    <w:rPr>
      <w:rFonts w:ascii="PT Astra Serif" w:hAnsi="PT Astra Serif" w:eastAsia="Tahoma" w:cs="Noto Sans Devanagari"/>
      <w:sz w:val="28"/>
      <w:szCs w:val="28"/>
    </w:rPr>
  </w:style>
  <w:style w:type="paragraph" w:styleId="Style17">
    <w:name w:val="Body Text"/>
    <w:basedOn w:val="Normal"/>
    <w:pPr>
      <w:spacing w:lineRule="auto" w:line="276" w:before="0" w:after="140"/>
    </w:pPr>
    <w:rPr/>
  </w:style>
  <w:style w:type="paragraph" w:styleId="Style18">
    <w:name w:val="List"/>
    <w:basedOn w:val="Style17"/>
    <w:pPr/>
    <w:rPr>
      <w:rFonts w:ascii="PT Astra Serif" w:hAnsi="PT Astra Serif" w:cs="Noto Sans Devanagari"/>
    </w:rPr>
  </w:style>
  <w:style w:type="paragraph" w:styleId="Style19">
    <w:name w:val="Caption"/>
    <w:basedOn w:val="Normal"/>
    <w:qFormat/>
    <w:pPr>
      <w:suppressLineNumbers/>
      <w:spacing w:before="120" w:after="120"/>
    </w:pPr>
    <w:rPr>
      <w:rFonts w:ascii="PT Astra Serif" w:hAnsi="PT Astra Serif" w:cs="Noto Sans Devanagari"/>
      <w:i/>
      <w:iCs/>
      <w:sz w:val="24"/>
      <w:szCs w:val="24"/>
    </w:rPr>
  </w:style>
  <w:style w:type="paragraph" w:styleId="Style20">
    <w:name w:val="Указатель"/>
    <w:basedOn w:val="Normal"/>
    <w:qFormat/>
    <w:pPr>
      <w:suppressLineNumbers/>
    </w:pPr>
    <w:rPr>
      <w:rFonts w:ascii="PT Astra Serif" w:hAnsi="PT Astra Serif" w:cs="Noto Sans Devanagari"/>
    </w:rPr>
  </w:style>
  <w:style w:type="paragraph" w:styleId="Style21">
    <w:name w:val="Верхний и нижний колонтитулы"/>
    <w:basedOn w:val="Normal"/>
    <w:qFormat/>
    <w:pPr/>
    <w:rPr/>
  </w:style>
  <w:style w:type="paragraph" w:styleId="Style22">
    <w:name w:val="Footer"/>
    <w:basedOn w:val="Normal"/>
    <w:link w:val="a4"/>
    <w:unhideWhenUsed/>
    <w:rsid w:val="00c76afe"/>
    <w:pPr>
      <w:widowControl/>
      <w:tabs>
        <w:tab w:val="clear" w:pos="708"/>
        <w:tab w:val="center" w:pos="4153" w:leader="none"/>
        <w:tab w:val="right" w:pos="8306" w:leader="none"/>
      </w:tabs>
    </w:pPr>
    <w:rPr/>
  </w:style>
  <w:style w:type="paragraph" w:styleId="Style23">
    <w:name w:val="Title"/>
    <w:basedOn w:val="Normal"/>
    <w:link w:val="a6"/>
    <w:qFormat/>
    <w:rsid w:val="00c76afe"/>
    <w:pPr>
      <w:widowControl/>
      <w:suppressAutoHyphens w:val="false"/>
      <w:jc w:val="center"/>
    </w:pPr>
    <w:rPr>
      <w:b/>
      <w:sz w:val="32"/>
      <w:lang w:eastAsia="ru-RU"/>
    </w:rPr>
  </w:style>
  <w:style w:type="paragraph" w:styleId="ListParagraph">
    <w:name w:val="List Paragraph"/>
    <w:basedOn w:val="Normal"/>
    <w:uiPriority w:val="34"/>
    <w:qFormat/>
    <w:rsid w:val="00c76afe"/>
    <w:pPr>
      <w:spacing w:before="0" w:after="0"/>
      <w:ind w:left="720" w:hanging="0"/>
      <w:contextualSpacing/>
    </w:pPr>
    <w:rPr/>
  </w:style>
  <w:style w:type="paragraph" w:styleId="Style24">
    <w:name w:val="Header"/>
    <w:basedOn w:val="Normal"/>
    <w:link w:val="a9"/>
    <w:uiPriority w:val="99"/>
    <w:unhideWhenUsed/>
    <w:rsid w:val="00fb1715"/>
    <w:pPr>
      <w:tabs>
        <w:tab w:val="clear" w:pos="708"/>
        <w:tab w:val="center" w:pos="4677" w:leader="none"/>
        <w:tab w:val="right" w:pos="9355" w:leader="none"/>
      </w:tabs>
    </w:pPr>
    <w:rPr/>
  </w:style>
  <w:style w:type="paragraph" w:styleId="12" w:customStyle="1">
    <w:name w:val="Основной текст1"/>
    <w:qFormat/>
    <w:rsid w:val="00b30618"/>
    <w:pPr>
      <w:widowControl/>
      <w:suppressAutoHyphens w:val="true"/>
      <w:bidi w:val="0"/>
      <w:spacing w:lineRule="auto" w:line="240" w:before="0" w:after="0"/>
      <w:jc w:val="left"/>
    </w:pPr>
    <w:rPr>
      <w:rFonts w:ascii="Times New Roman" w:hAnsi="Times New Roman" w:eastAsia="Times New Roman" w:cs="Times New Roman"/>
      <w:color w:val="000000"/>
      <w:kern w:val="0"/>
      <w:sz w:val="24"/>
      <w:szCs w:val="20"/>
      <w:lang w:val="ru-RU" w:eastAsia="zh-CN" w:bidi="ar-SA"/>
    </w:rPr>
  </w:style>
  <w:style w:type="paragraph" w:styleId="13">
    <w:name w:val="Заголовок1"/>
    <w:basedOn w:val="Normal"/>
    <w:next w:val="Style17"/>
    <w:qFormat/>
    <w:pPr>
      <w:widowControl/>
      <w:jc w:val="center"/>
    </w:pPr>
    <w:rPr>
      <w:b/>
      <w:sz w:val="32"/>
    </w:rPr>
  </w:style>
  <w:style w:type="numbering" w:styleId="NoList" w:default="1">
    <w:name w:val="No List"/>
    <w:uiPriority w:val="99"/>
    <w:semiHidden/>
    <w:unhideWhenUsed/>
    <w:qFormat/>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table" w:styleId="aa">
    <w:name w:val="Table Grid"/>
    <w:basedOn w:val="a1"/>
    <w:uiPriority w:val="59"/>
    <w:rsid w:val="00b30618"/>
    <w:pPr>
      <w:spacing w:after="0" w:line="240" w:lineRule="auto"/>
    </w:p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102</TotalTime>
  <Application>LibreOffice/6.4.7.2$Linux_X86_64 LibreOffice_project/40$Build-2</Application>
  <Pages>15</Pages>
  <Words>5321</Words>
  <Characters>37634</Characters>
  <CharactersWithSpaces>43050</CharactersWithSpaces>
  <Paragraphs>260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2023-10-23T07:19:00Z</dcterms:created>
  <dc:creator>Ludm</dc:creator>
  <dc:description/>
  <dc:language>ru-RU</dc:language>
  <cp:lastModifiedBy/>
  <cp:lastPrinted>2023-10-24T07:14:00Z</cp:lastPrinted>
  <dcterms:modified xsi:type="dcterms:W3CDTF">2025-06-17T16:50:51Z</dcterms:modified>
  <cp:revision>83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